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E9B4" w14:textId="77777777" w:rsidR="005A570B" w:rsidRPr="00A00670" w:rsidRDefault="0030098D" w:rsidP="00A234D5">
      <w:pPr>
        <w:pStyle w:val="Naslov1p"/>
        <w:jc w:val="center"/>
        <w:rPr>
          <w:sz w:val="40"/>
          <w:szCs w:val="40"/>
        </w:rPr>
      </w:pPr>
      <w:r w:rsidRPr="00A00670">
        <w:rPr>
          <w:sz w:val="40"/>
          <w:szCs w:val="40"/>
        </w:rPr>
        <w:t>PRELIMINARN</w:t>
      </w:r>
      <w:r w:rsidR="006B65F8" w:rsidRPr="00A00670">
        <w:rPr>
          <w:sz w:val="40"/>
          <w:szCs w:val="40"/>
        </w:rPr>
        <w:t xml:space="preserve">O POROČILO </w:t>
      </w:r>
      <w:r w:rsidRPr="00A00670">
        <w:rPr>
          <w:sz w:val="40"/>
          <w:szCs w:val="40"/>
        </w:rPr>
        <w:t>O SLOVENSKEM NEPREMIČNINSKEM TRGU ZA LETO 2020</w:t>
      </w:r>
    </w:p>
    <w:p w14:paraId="12006DBE" w14:textId="77777777" w:rsidR="0030098D" w:rsidRPr="00A00670" w:rsidRDefault="0030098D" w:rsidP="00A234D5">
      <w:pPr>
        <w:jc w:val="both"/>
      </w:pPr>
    </w:p>
    <w:p w14:paraId="357ED336" w14:textId="77777777" w:rsidR="00114CA9" w:rsidRPr="00A00670" w:rsidRDefault="00114CA9" w:rsidP="00A234D5">
      <w:pPr>
        <w:jc w:val="both"/>
      </w:pPr>
    </w:p>
    <w:p w14:paraId="5D799981" w14:textId="77777777" w:rsidR="00114CA9" w:rsidRPr="00A00670" w:rsidRDefault="00114CA9" w:rsidP="00A234D5">
      <w:pPr>
        <w:jc w:val="both"/>
      </w:pPr>
    </w:p>
    <w:p w14:paraId="1D02D05E" w14:textId="77777777" w:rsidR="00114CA9" w:rsidRPr="00A00670" w:rsidRDefault="00114CA9" w:rsidP="00A234D5">
      <w:pPr>
        <w:jc w:val="both"/>
      </w:pPr>
    </w:p>
    <w:p w14:paraId="10006C36" w14:textId="77777777" w:rsidR="00114CA9" w:rsidRPr="00A00670" w:rsidRDefault="00114CA9" w:rsidP="00A234D5">
      <w:pPr>
        <w:jc w:val="both"/>
      </w:pPr>
    </w:p>
    <w:p w14:paraId="7B4400B9" w14:textId="77777777" w:rsidR="00114CA9" w:rsidRPr="00A00670" w:rsidRDefault="00114CA9" w:rsidP="00A234D5">
      <w:pPr>
        <w:jc w:val="both"/>
      </w:pPr>
    </w:p>
    <w:p w14:paraId="7ADCA061" w14:textId="77777777" w:rsidR="00114CA9" w:rsidRPr="00A00670" w:rsidRDefault="00114CA9" w:rsidP="00A234D5">
      <w:pPr>
        <w:jc w:val="both"/>
      </w:pPr>
    </w:p>
    <w:p w14:paraId="7D01AE15" w14:textId="77777777" w:rsidR="00114CA9" w:rsidRPr="00A00670" w:rsidRDefault="00114CA9" w:rsidP="00A234D5">
      <w:pPr>
        <w:jc w:val="both"/>
      </w:pPr>
    </w:p>
    <w:p w14:paraId="44805DC8" w14:textId="77777777" w:rsidR="00114CA9" w:rsidRPr="00A00670" w:rsidRDefault="00114CA9" w:rsidP="00A234D5">
      <w:pPr>
        <w:jc w:val="both"/>
      </w:pPr>
    </w:p>
    <w:p w14:paraId="0B9A88C4" w14:textId="77777777" w:rsidR="00114CA9" w:rsidRPr="00A00670" w:rsidRDefault="00114CA9" w:rsidP="00A234D5">
      <w:pPr>
        <w:jc w:val="both"/>
      </w:pPr>
    </w:p>
    <w:p w14:paraId="427D8924" w14:textId="77777777" w:rsidR="00114CA9" w:rsidRPr="00A00670" w:rsidRDefault="00114CA9" w:rsidP="00A234D5">
      <w:pPr>
        <w:jc w:val="both"/>
      </w:pPr>
    </w:p>
    <w:p w14:paraId="6502FDEC" w14:textId="77777777" w:rsidR="00114CA9" w:rsidRPr="00A00670" w:rsidRDefault="00114CA9" w:rsidP="00A234D5">
      <w:pPr>
        <w:jc w:val="both"/>
      </w:pPr>
    </w:p>
    <w:p w14:paraId="3ED42A64" w14:textId="77777777" w:rsidR="00114CA9" w:rsidRPr="00A00670" w:rsidRDefault="00114CA9" w:rsidP="00A234D5">
      <w:pPr>
        <w:jc w:val="both"/>
      </w:pPr>
    </w:p>
    <w:p w14:paraId="6C6B0821" w14:textId="77777777" w:rsidR="00114CA9" w:rsidRPr="00A00670" w:rsidRDefault="00114CA9" w:rsidP="00A234D5">
      <w:pPr>
        <w:jc w:val="both"/>
      </w:pPr>
    </w:p>
    <w:p w14:paraId="6123D6F8" w14:textId="77777777" w:rsidR="00114CA9" w:rsidRPr="00A00670" w:rsidRDefault="00114CA9" w:rsidP="00A234D5">
      <w:pPr>
        <w:jc w:val="both"/>
      </w:pPr>
    </w:p>
    <w:p w14:paraId="36FAC109" w14:textId="77777777" w:rsidR="00114CA9" w:rsidRPr="00A00670" w:rsidRDefault="00114CA9" w:rsidP="00A234D5">
      <w:pPr>
        <w:jc w:val="both"/>
      </w:pPr>
    </w:p>
    <w:p w14:paraId="4CCC410C" w14:textId="77777777" w:rsidR="00114CA9" w:rsidRPr="00A00670" w:rsidRDefault="00114CA9" w:rsidP="00A234D5">
      <w:pPr>
        <w:jc w:val="both"/>
      </w:pPr>
    </w:p>
    <w:p w14:paraId="52E84DD6" w14:textId="77777777" w:rsidR="00114CA9" w:rsidRPr="00A00670" w:rsidRDefault="00114CA9" w:rsidP="00A234D5">
      <w:pPr>
        <w:jc w:val="both"/>
      </w:pPr>
    </w:p>
    <w:p w14:paraId="34FEFAD6" w14:textId="77777777" w:rsidR="00114CA9" w:rsidRPr="00A00670" w:rsidRDefault="00114CA9" w:rsidP="00A234D5">
      <w:pPr>
        <w:jc w:val="both"/>
      </w:pPr>
    </w:p>
    <w:p w14:paraId="34E9B364" w14:textId="77777777" w:rsidR="00114CA9" w:rsidRPr="00A00670" w:rsidRDefault="00114CA9" w:rsidP="00A234D5">
      <w:pPr>
        <w:jc w:val="both"/>
      </w:pPr>
    </w:p>
    <w:p w14:paraId="0493E065" w14:textId="77777777" w:rsidR="00114CA9" w:rsidRPr="00A00670" w:rsidRDefault="00114CA9" w:rsidP="00A234D5">
      <w:pPr>
        <w:jc w:val="both"/>
      </w:pPr>
    </w:p>
    <w:p w14:paraId="381426BC" w14:textId="77777777" w:rsidR="00114CA9" w:rsidRPr="00A00670" w:rsidRDefault="00114CA9" w:rsidP="00A234D5">
      <w:pPr>
        <w:jc w:val="both"/>
      </w:pPr>
    </w:p>
    <w:p w14:paraId="781EBBEE" w14:textId="77777777" w:rsidR="00114CA9" w:rsidRPr="00A00670" w:rsidRDefault="00114CA9" w:rsidP="00A234D5">
      <w:pPr>
        <w:jc w:val="both"/>
      </w:pPr>
    </w:p>
    <w:p w14:paraId="4E1C9E29" w14:textId="77777777" w:rsidR="00114CA9" w:rsidRPr="00A00670" w:rsidRDefault="00114CA9" w:rsidP="00A234D5">
      <w:pPr>
        <w:jc w:val="both"/>
      </w:pPr>
    </w:p>
    <w:p w14:paraId="3AEC58BF" w14:textId="77777777" w:rsidR="00114CA9" w:rsidRPr="00A00670" w:rsidRDefault="00114CA9" w:rsidP="00A234D5">
      <w:pPr>
        <w:jc w:val="both"/>
      </w:pPr>
    </w:p>
    <w:p w14:paraId="181566AA" w14:textId="77777777" w:rsidR="00114CA9" w:rsidRPr="00A00670" w:rsidRDefault="00114CA9" w:rsidP="00A234D5">
      <w:pPr>
        <w:jc w:val="both"/>
      </w:pPr>
    </w:p>
    <w:p w14:paraId="081041FB" w14:textId="77777777" w:rsidR="0030098D" w:rsidRPr="00A00670" w:rsidRDefault="0030098D" w:rsidP="00A234D5">
      <w:pPr>
        <w:jc w:val="both"/>
      </w:pPr>
      <w:r w:rsidRPr="00A00670">
        <w:t>GEODETSKA UPRAVA REPUBLIKE SLOVENIJE</w:t>
      </w:r>
    </w:p>
    <w:p w14:paraId="72BFF2D4" w14:textId="77777777" w:rsidR="0030098D" w:rsidRPr="00A00670" w:rsidRDefault="006B65F8" w:rsidP="00A234D5">
      <w:pPr>
        <w:jc w:val="both"/>
      </w:pPr>
      <w:r w:rsidRPr="00A00670">
        <w:t>MAREC</w:t>
      </w:r>
      <w:r w:rsidR="0030098D" w:rsidRPr="00A00670">
        <w:t xml:space="preserve"> 2021</w:t>
      </w:r>
    </w:p>
    <w:p w14:paraId="48D39525" w14:textId="77777777" w:rsidR="0030098D" w:rsidRPr="00A00670" w:rsidRDefault="0030098D" w:rsidP="00A234D5">
      <w:pPr>
        <w:pStyle w:val="Naslov1p"/>
        <w:jc w:val="both"/>
      </w:pPr>
      <w:r w:rsidRPr="00A00670">
        <w:br w:type="page"/>
      </w:r>
      <w:r w:rsidRPr="00A00670">
        <w:lastRenderedPageBreak/>
        <w:t>UVODNO POJASNILO</w:t>
      </w:r>
    </w:p>
    <w:p w14:paraId="780D7618" w14:textId="77777777" w:rsidR="0030098D" w:rsidRPr="00A00670" w:rsidRDefault="0030098D" w:rsidP="00A234D5">
      <w:pPr>
        <w:jc w:val="both"/>
      </w:pPr>
    </w:p>
    <w:p w14:paraId="377865C3" w14:textId="674C0AC4" w:rsidR="00F64D81" w:rsidRPr="00A00670" w:rsidRDefault="009A2AAD" w:rsidP="00A234D5">
      <w:pPr>
        <w:jc w:val="both"/>
      </w:pPr>
      <w:r w:rsidRPr="00A00670">
        <w:t>Epidemija</w:t>
      </w:r>
      <w:r w:rsidR="008C42B2" w:rsidRPr="00A00670">
        <w:t xml:space="preserve"> Covid-19</w:t>
      </w:r>
      <w:r w:rsidRPr="00A00670">
        <w:t xml:space="preserve"> je </w:t>
      </w:r>
      <w:r w:rsidR="003A7801" w:rsidRPr="00A00670">
        <w:t xml:space="preserve">po vsem svetu </w:t>
      </w:r>
      <w:r w:rsidRPr="00A00670">
        <w:t xml:space="preserve">v vseh pogledih zaznamovala preteklo leto. </w:t>
      </w:r>
      <w:r w:rsidR="00B06727" w:rsidRPr="00A00670">
        <w:t>O</w:t>
      </w:r>
      <w:r w:rsidR="00F64D81" w:rsidRPr="00A00670">
        <w:t xml:space="preserve">dločilno </w:t>
      </w:r>
      <w:r w:rsidR="00B06727" w:rsidRPr="00A00670">
        <w:t xml:space="preserve">je </w:t>
      </w:r>
      <w:r w:rsidR="00F64D81" w:rsidRPr="00A00670">
        <w:t xml:space="preserve">vplivala </w:t>
      </w:r>
      <w:r w:rsidR="00212756" w:rsidRPr="00A00670">
        <w:t xml:space="preserve">tudi </w:t>
      </w:r>
      <w:r w:rsidR="00F64D81" w:rsidRPr="00A00670">
        <w:t xml:space="preserve">na </w:t>
      </w:r>
      <w:r w:rsidRPr="00A00670">
        <w:t>dejavnost nepremičninske</w:t>
      </w:r>
      <w:r w:rsidR="00212756" w:rsidRPr="00A00670">
        <w:t>ga trga pri nas.</w:t>
      </w:r>
      <w:r w:rsidR="008C42B2" w:rsidRPr="00A00670">
        <w:t xml:space="preserve"> </w:t>
      </w:r>
      <w:r w:rsidR="00212756" w:rsidRPr="00A00670">
        <w:t xml:space="preserve">Normalno nepremičninsko </w:t>
      </w:r>
      <w:r w:rsidR="00386C4C" w:rsidRPr="00A00670">
        <w:t>trgovanje</w:t>
      </w:r>
      <w:r w:rsidR="00212756" w:rsidRPr="00A00670">
        <w:t xml:space="preserve"> je bilo zaradi </w:t>
      </w:r>
      <w:r w:rsidR="004A2119" w:rsidRPr="00A00670">
        <w:t>državnih</w:t>
      </w:r>
      <w:r w:rsidR="00212756" w:rsidRPr="00A00670">
        <w:t xml:space="preserve"> ukrepov </w:t>
      </w:r>
      <w:r w:rsidR="004A2119" w:rsidRPr="00A00670">
        <w:t xml:space="preserve">za zajezitev epidemije </w:t>
      </w:r>
      <w:r w:rsidR="003A7801" w:rsidRPr="00A00670">
        <w:t xml:space="preserve">najprej </w:t>
      </w:r>
      <w:r w:rsidR="00212756" w:rsidRPr="00A00670">
        <w:t xml:space="preserve">onemogočeno v času prve razglasitve epidemije </w:t>
      </w:r>
      <w:r w:rsidR="00D768BA" w:rsidRPr="00A00670">
        <w:t>spomladi</w:t>
      </w:r>
      <w:r w:rsidR="00C025A9" w:rsidRPr="00A00670">
        <w:t xml:space="preserve">, nato pa </w:t>
      </w:r>
      <w:r w:rsidR="00D768BA" w:rsidRPr="00A00670">
        <w:t xml:space="preserve">še </w:t>
      </w:r>
      <w:r w:rsidR="00A6521F" w:rsidRPr="00A00670">
        <w:t xml:space="preserve">od </w:t>
      </w:r>
      <w:r w:rsidR="00D768BA" w:rsidRPr="00A00670">
        <w:t>razglasitv</w:t>
      </w:r>
      <w:r w:rsidR="00A6521F" w:rsidRPr="00A00670">
        <w:t>e</w:t>
      </w:r>
      <w:r w:rsidR="00D768BA" w:rsidRPr="00A00670">
        <w:t xml:space="preserve"> druge</w:t>
      </w:r>
      <w:r w:rsidR="00C025A9" w:rsidRPr="00A00670">
        <w:t>ga vala epidemije</w:t>
      </w:r>
      <w:r w:rsidR="00A6521F" w:rsidRPr="00A00670">
        <w:t xml:space="preserve"> </w:t>
      </w:r>
      <w:r w:rsidR="00B06727" w:rsidRPr="00A00670">
        <w:t>oktobra</w:t>
      </w:r>
      <w:r w:rsidR="00A6521F" w:rsidRPr="00A00670">
        <w:t xml:space="preserve"> do </w:t>
      </w:r>
      <w:r w:rsidR="00B06727" w:rsidRPr="00A00670">
        <w:t>sred</w:t>
      </w:r>
      <w:r w:rsidR="006E3899" w:rsidRPr="00A00670">
        <w:t>ine</w:t>
      </w:r>
      <w:r w:rsidR="00B06727" w:rsidRPr="00A00670">
        <w:t xml:space="preserve"> letošnjega februarja oziroma </w:t>
      </w:r>
      <w:r w:rsidR="00C025A9" w:rsidRPr="00A00670">
        <w:t xml:space="preserve">prehoda </w:t>
      </w:r>
      <w:r w:rsidR="00DB5447" w:rsidRPr="00A00670">
        <w:t xml:space="preserve">epidemije </w:t>
      </w:r>
      <w:r w:rsidR="00C025A9" w:rsidRPr="00A00670">
        <w:t>v tako imenovano oranžno fazo</w:t>
      </w:r>
      <w:r w:rsidR="00DB5447" w:rsidRPr="00A00670">
        <w:t xml:space="preserve">. </w:t>
      </w:r>
    </w:p>
    <w:p w14:paraId="04532EF4" w14:textId="6CF65981" w:rsidR="008C42B2" w:rsidRPr="00A00670" w:rsidRDefault="00B06727" w:rsidP="00A234D5">
      <w:pPr>
        <w:jc w:val="both"/>
      </w:pPr>
      <w:r w:rsidRPr="00A00670">
        <w:t xml:space="preserve">Čeprav </w:t>
      </w:r>
      <w:r w:rsidR="00386C4C" w:rsidRPr="00A00670">
        <w:t>vse</w:t>
      </w:r>
      <w:r w:rsidRPr="00A00670">
        <w:t xml:space="preserve"> </w:t>
      </w:r>
      <w:r w:rsidR="00386C4C" w:rsidRPr="00A00670">
        <w:t xml:space="preserve">kupoprodaje nepremičnin, </w:t>
      </w:r>
      <w:r w:rsidRPr="00A00670">
        <w:t>sklenjen</w:t>
      </w:r>
      <w:r w:rsidR="00386C4C" w:rsidRPr="00A00670">
        <w:t>e</w:t>
      </w:r>
      <w:r w:rsidRPr="00A00670">
        <w:t xml:space="preserve"> v letu 2020 </w:t>
      </w:r>
      <w:r w:rsidR="006E3899" w:rsidRPr="00A00670">
        <w:t xml:space="preserve">še </w:t>
      </w:r>
      <w:r w:rsidRPr="00A00670">
        <w:t>ni</w:t>
      </w:r>
      <w:r w:rsidR="00386C4C" w:rsidRPr="00A00670">
        <w:t>so</w:t>
      </w:r>
      <w:r w:rsidRPr="00A00670">
        <w:t xml:space="preserve"> evidentiran</w:t>
      </w:r>
      <w:r w:rsidR="00386C4C" w:rsidRPr="00A00670">
        <w:t>e</w:t>
      </w:r>
      <w:r w:rsidRPr="00A00670">
        <w:t xml:space="preserve"> in podatki še niso obdelani za podrobnejše tržne analize, </w:t>
      </w:r>
      <w:r w:rsidR="003F0CC2" w:rsidRPr="00A00670">
        <w:t xml:space="preserve">objavljamo </w:t>
      </w:r>
      <w:r w:rsidR="00016F7A" w:rsidRPr="00A00670">
        <w:t xml:space="preserve">začasne </w:t>
      </w:r>
      <w:r w:rsidR="00DB5447" w:rsidRPr="00A00670">
        <w:t>podatke</w:t>
      </w:r>
      <w:r w:rsidR="009F7448" w:rsidRPr="00A00670">
        <w:t xml:space="preserve"> </w:t>
      </w:r>
      <w:r w:rsidR="00EC408F" w:rsidRPr="00A00670">
        <w:t xml:space="preserve">na podlagi katerih je </w:t>
      </w:r>
      <w:r w:rsidR="00016F7A" w:rsidRPr="00A00670">
        <w:t xml:space="preserve">že </w:t>
      </w:r>
      <w:r w:rsidR="00EC408F" w:rsidRPr="00A00670">
        <w:t xml:space="preserve">možno </w:t>
      </w:r>
      <w:r w:rsidR="00F44C0B" w:rsidRPr="00A00670">
        <w:t>ocen</w:t>
      </w:r>
      <w:r w:rsidR="00EC408F" w:rsidRPr="00A00670">
        <w:t xml:space="preserve">iti </w:t>
      </w:r>
      <w:r w:rsidR="008C42B2" w:rsidRPr="00A00670">
        <w:t xml:space="preserve">vpliv epidemije na promet </w:t>
      </w:r>
      <w:r w:rsidR="00DB5447" w:rsidRPr="00A00670">
        <w:t>in cene nepremičnin</w:t>
      </w:r>
      <w:r w:rsidR="00EC408F" w:rsidRPr="00A00670">
        <w:t xml:space="preserve"> do konca preteklega leta</w:t>
      </w:r>
      <w:r w:rsidR="006E3899" w:rsidRPr="00A00670">
        <w:t>.</w:t>
      </w:r>
      <w:r w:rsidR="003F0CC2" w:rsidRPr="00A00670">
        <w:t xml:space="preserve"> </w:t>
      </w:r>
      <w:r w:rsidR="00DB5447" w:rsidRPr="00A00670">
        <w:t xml:space="preserve">Končni podatki </w:t>
      </w:r>
      <w:r w:rsidR="00EC408F" w:rsidRPr="00A00670">
        <w:t>o prometu in cenah nepremičnin za</w:t>
      </w:r>
      <w:r w:rsidR="00DB5447" w:rsidRPr="00A00670">
        <w:t xml:space="preserve"> let</w:t>
      </w:r>
      <w:r w:rsidR="00EC408F" w:rsidRPr="00A00670">
        <w:t>o</w:t>
      </w:r>
      <w:r w:rsidR="00DB5447" w:rsidRPr="00A00670">
        <w:t xml:space="preserve"> 2020 bodo objavljeni v rednem letnem poročilu </w:t>
      </w:r>
      <w:r w:rsidR="008C42B2" w:rsidRPr="00A00670">
        <w:t xml:space="preserve"> </w:t>
      </w:r>
      <w:r w:rsidR="00DB5447" w:rsidRPr="00A00670">
        <w:t>o slovenskem nepremičninskem trgu.</w:t>
      </w:r>
    </w:p>
    <w:p w14:paraId="063D0390" w14:textId="475EFDF5" w:rsidR="00DB496A" w:rsidRPr="00A00670" w:rsidRDefault="008C42B2" w:rsidP="00A234D5">
      <w:pPr>
        <w:jc w:val="both"/>
      </w:pPr>
      <w:r w:rsidRPr="00A00670">
        <w:t>Objavljeni</w:t>
      </w:r>
      <w:r w:rsidR="00DB496A" w:rsidRPr="00A00670">
        <w:t xml:space="preserve"> preliminarni podatki temeljijo na podatkih o sklenjenih nepremičninskih poslih</w:t>
      </w:r>
      <w:r w:rsidRPr="00A00670">
        <w:t xml:space="preserve"> v letu 2020, ki so jih zakonsko predpisani zavezanci </w:t>
      </w:r>
      <w:r w:rsidR="006B65F8" w:rsidRPr="00A00670">
        <w:t xml:space="preserve">za poročanje </w:t>
      </w:r>
      <w:r w:rsidRPr="00A00670">
        <w:t xml:space="preserve">sporočili v Evidenco trga nepremičnin (ETN) do </w:t>
      </w:r>
      <w:r w:rsidR="00EC408F" w:rsidRPr="00A00670">
        <w:t>1</w:t>
      </w:r>
      <w:r w:rsidRPr="00A00670">
        <w:t xml:space="preserve">. </w:t>
      </w:r>
      <w:r w:rsidR="00EC408F" w:rsidRPr="00A00670">
        <w:t>marca</w:t>
      </w:r>
      <w:r w:rsidRPr="00A00670">
        <w:t xml:space="preserve"> 2021. </w:t>
      </w:r>
    </w:p>
    <w:p w14:paraId="6DBE5246" w14:textId="22228944" w:rsidR="00DB496A" w:rsidRPr="00A00670" w:rsidRDefault="003A7801" w:rsidP="003A7801">
      <w:pPr>
        <w:jc w:val="both"/>
      </w:pPr>
      <w:r w:rsidRPr="00A00670">
        <w:t xml:space="preserve">Za izračun preliminarnih statističnih kazalnikov </w:t>
      </w:r>
      <w:r w:rsidR="0088163F" w:rsidRPr="00A00670">
        <w:t xml:space="preserve">in tržne analize v tem poročilu veljajo enaka </w:t>
      </w:r>
      <w:r w:rsidR="00DB496A" w:rsidRPr="00A00670">
        <w:t>metodološka pojasnila kot so objavljena v poročilu o slovenskem nepremičninskem trgu za leto 2019.</w:t>
      </w:r>
    </w:p>
    <w:p w14:paraId="396732A7" w14:textId="77777777" w:rsidR="000C1618" w:rsidRPr="00A00670" w:rsidRDefault="000C1618" w:rsidP="00A234D5">
      <w:pPr>
        <w:jc w:val="both"/>
      </w:pPr>
      <w:r w:rsidRPr="00A00670">
        <w:br w:type="page"/>
      </w:r>
    </w:p>
    <w:p w14:paraId="08DFF220" w14:textId="77777777" w:rsidR="00205E29" w:rsidRPr="00A00670" w:rsidRDefault="00205E29" w:rsidP="00205E29">
      <w:pPr>
        <w:pStyle w:val="Naslov1p"/>
      </w:pPr>
      <w:r w:rsidRPr="00A00670">
        <w:lastRenderedPageBreak/>
        <w:t>OBSEG IN VREDNOST POSLOV Z NEPREMIČNINAMI</w:t>
      </w:r>
    </w:p>
    <w:p w14:paraId="125872B2" w14:textId="77777777" w:rsidR="00205E29" w:rsidRPr="00A00670" w:rsidRDefault="00205E29" w:rsidP="00205E29">
      <w:pPr>
        <w:jc w:val="both"/>
      </w:pPr>
    </w:p>
    <w:p w14:paraId="6634CB90" w14:textId="77777777" w:rsidR="00205E29" w:rsidRPr="00A00670" w:rsidRDefault="00205E29" w:rsidP="00205E29">
      <w:pPr>
        <w:jc w:val="both"/>
      </w:pPr>
      <w:r w:rsidRPr="00A00670">
        <w:t>Za leto 2020 je bilo v Sloveniji zasedaj evidentiranih okoli 31.200 sklenjenih kupoprodajnih pogodb za nepremičnine, katerih skupna vrednost je znašala okoli 2,2 milijarde evrov. Na podlagi preliminarnih podatkov za leto 2020 ocenjujemo, da se je število sklenjenih kupoprodajnih poslov v preteklem letu v primerjavi z letom 2019 dejansko zmanjšalo za manj kot 15 odstotkov, medtem ko se je njihova skupna vrednost zmanjšala za okoli 20 odstotkov.</w:t>
      </w:r>
    </w:p>
    <w:p w14:paraId="1272364C" w14:textId="77777777" w:rsidR="00205E29" w:rsidRPr="00A00670" w:rsidRDefault="00205E29" w:rsidP="00205E29">
      <w:pPr>
        <w:pStyle w:val="Brezrazmikov"/>
      </w:pPr>
    </w:p>
    <w:p w14:paraId="4299B310" w14:textId="26EF7CE6" w:rsidR="00205E29" w:rsidRPr="00A00670" w:rsidRDefault="00205E29" w:rsidP="00205E29">
      <w:pPr>
        <w:pStyle w:val="Napis"/>
        <w:jc w:val="both"/>
        <w:rPr>
          <w:color w:val="auto"/>
          <w:sz w:val="24"/>
          <w:szCs w:val="24"/>
        </w:rPr>
      </w:pPr>
      <w:r w:rsidRPr="00A00670">
        <w:rPr>
          <w:color w:val="auto"/>
          <w:sz w:val="24"/>
          <w:szCs w:val="24"/>
        </w:rPr>
        <w:t xml:space="preserve">Preglednica </w:t>
      </w:r>
      <w:r w:rsidRPr="00A00670">
        <w:rPr>
          <w:color w:val="auto"/>
          <w:sz w:val="24"/>
          <w:szCs w:val="24"/>
        </w:rPr>
        <w:fldChar w:fldCharType="begin"/>
      </w:r>
      <w:r w:rsidRPr="00A00670">
        <w:rPr>
          <w:color w:val="auto"/>
          <w:sz w:val="24"/>
          <w:szCs w:val="24"/>
        </w:rPr>
        <w:instrText xml:space="preserve"> SEQ Preglednica \* ARABIC </w:instrText>
      </w:r>
      <w:r w:rsidRPr="00A00670">
        <w:rPr>
          <w:color w:val="auto"/>
          <w:sz w:val="24"/>
          <w:szCs w:val="24"/>
        </w:rPr>
        <w:fldChar w:fldCharType="separate"/>
      </w:r>
      <w:r w:rsidR="00DC0028" w:rsidRPr="00A00670">
        <w:rPr>
          <w:noProof/>
          <w:color w:val="auto"/>
          <w:sz w:val="24"/>
          <w:szCs w:val="24"/>
        </w:rPr>
        <w:t>1</w:t>
      </w:r>
      <w:r w:rsidRPr="00A00670">
        <w:rPr>
          <w:color w:val="auto"/>
          <w:sz w:val="24"/>
          <w:szCs w:val="24"/>
        </w:rPr>
        <w:fldChar w:fldCharType="end"/>
      </w:r>
      <w:r w:rsidRPr="00A00670">
        <w:rPr>
          <w:color w:val="auto"/>
          <w:sz w:val="24"/>
          <w:szCs w:val="24"/>
        </w:rPr>
        <w:t>: Število in skupna vrednost sklenjenih kupoprodajnih pogodb za nepremičnine, Slovenija, letno od 2015 do 2020</w:t>
      </w:r>
    </w:p>
    <w:tbl>
      <w:tblPr>
        <w:tblStyle w:val="Tabelamrea"/>
        <w:tblW w:w="9440" w:type="dxa"/>
        <w:tblLook w:val="04A0" w:firstRow="1" w:lastRow="0" w:firstColumn="1" w:lastColumn="0" w:noHBand="0" w:noVBand="1"/>
      </w:tblPr>
      <w:tblGrid>
        <w:gridCol w:w="3680"/>
        <w:gridCol w:w="960"/>
        <w:gridCol w:w="960"/>
        <w:gridCol w:w="960"/>
        <w:gridCol w:w="960"/>
        <w:gridCol w:w="960"/>
        <w:gridCol w:w="960"/>
      </w:tblGrid>
      <w:tr w:rsidR="00205E29" w:rsidRPr="00A00670" w14:paraId="02E108D8" w14:textId="77777777" w:rsidTr="009F7448">
        <w:trPr>
          <w:trHeight w:val="300"/>
        </w:trPr>
        <w:tc>
          <w:tcPr>
            <w:tcW w:w="3680" w:type="dxa"/>
            <w:shd w:val="clear" w:color="auto" w:fill="DEEAF6" w:themeFill="accent5" w:themeFillTint="33"/>
            <w:hideMark/>
          </w:tcPr>
          <w:p w14:paraId="1D774229" w14:textId="77777777" w:rsidR="00205E29" w:rsidRPr="00A00670" w:rsidRDefault="00205E29" w:rsidP="009F7448">
            <w:pPr>
              <w:jc w:val="both"/>
              <w:rPr>
                <w:rFonts w:ascii="Calibri" w:eastAsia="Times New Roman" w:hAnsi="Calibri" w:cs="Calibri"/>
                <w:lang w:eastAsia="sl-SI"/>
              </w:rPr>
            </w:pPr>
            <w:r w:rsidRPr="00A00670">
              <w:rPr>
                <w:rFonts w:ascii="Calibri" w:eastAsia="Times New Roman" w:hAnsi="Calibri" w:cs="Calibri"/>
                <w:lang w:eastAsia="sl-SI"/>
              </w:rPr>
              <w:t> </w:t>
            </w:r>
          </w:p>
        </w:tc>
        <w:tc>
          <w:tcPr>
            <w:tcW w:w="960" w:type="dxa"/>
            <w:shd w:val="clear" w:color="auto" w:fill="DEEAF6" w:themeFill="accent5" w:themeFillTint="33"/>
            <w:noWrap/>
            <w:hideMark/>
          </w:tcPr>
          <w:p w14:paraId="0331CE1A" w14:textId="77777777" w:rsidR="00205E29" w:rsidRPr="00A00670" w:rsidRDefault="00205E29" w:rsidP="009F7448">
            <w:pPr>
              <w:jc w:val="center"/>
              <w:rPr>
                <w:rFonts w:ascii="Calibri" w:eastAsia="Times New Roman" w:hAnsi="Calibri" w:cs="Calibri"/>
                <w:b/>
                <w:bCs/>
                <w:lang w:eastAsia="sl-SI"/>
              </w:rPr>
            </w:pPr>
            <w:r w:rsidRPr="00A00670">
              <w:rPr>
                <w:rFonts w:ascii="Calibri" w:eastAsia="Times New Roman" w:hAnsi="Calibri" w:cs="Calibri"/>
                <w:b/>
                <w:bCs/>
                <w:lang w:eastAsia="sl-SI"/>
              </w:rPr>
              <w:t>2015</w:t>
            </w:r>
          </w:p>
        </w:tc>
        <w:tc>
          <w:tcPr>
            <w:tcW w:w="960" w:type="dxa"/>
            <w:shd w:val="clear" w:color="auto" w:fill="DEEAF6" w:themeFill="accent5" w:themeFillTint="33"/>
            <w:noWrap/>
            <w:hideMark/>
          </w:tcPr>
          <w:p w14:paraId="28BC7F8F" w14:textId="77777777" w:rsidR="00205E29" w:rsidRPr="00A00670" w:rsidRDefault="00205E29" w:rsidP="009F7448">
            <w:pPr>
              <w:jc w:val="center"/>
              <w:rPr>
                <w:rFonts w:ascii="Calibri" w:eastAsia="Times New Roman" w:hAnsi="Calibri" w:cs="Calibri"/>
                <w:b/>
                <w:bCs/>
                <w:lang w:eastAsia="sl-SI"/>
              </w:rPr>
            </w:pPr>
            <w:r w:rsidRPr="00A00670">
              <w:rPr>
                <w:rFonts w:ascii="Calibri" w:eastAsia="Times New Roman" w:hAnsi="Calibri" w:cs="Calibri"/>
                <w:b/>
                <w:bCs/>
                <w:lang w:eastAsia="sl-SI"/>
              </w:rPr>
              <w:t>2016</w:t>
            </w:r>
          </w:p>
        </w:tc>
        <w:tc>
          <w:tcPr>
            <w:tcW w:w="960" w:type="dxa"/>
            <w:shd w:val="clear" w:color="auto" w:fill="DEEAF6" w:themeFill="accent5" w:themeFillTint="33"/>
            <w:noWrap/>
            <w:hideMark/>
          </w:tcPr>
          <w:p w14:paraId="627648B2" w14:textId="77777777" w:rsidR="00205E29" w:rsidRPr="00A00670" w:rsidRDefault="00205E29" w:rsidP="009F7448">
            <w:pPr>
              <w:jc w:val="center"/>
              <w:rPr>
                <w:rFonts w:ascii="Calibri" w:eastAsia="Times New Roman" w:hAnsi="Calibri" w:cs="Calibri"/>
                <w:b/>
                <w:bCs/>
                <w:lang w:eastAsia="sl-SI"/>
              </w:rPr>
            </w:pPr>
            <w:r w:rsidRPr="00A00670">
              <w:rPr>
                <w:rFonts w:ascii="Calibri" w:eastAsia="Times New Roman" w:hAnsi="Calibri" w:cs="Calibri"/>
                <w:b/>
                <w:bCs/>
                <w:lang w:eastAsia="sl-SI"/>
              </w:rPr>
              <w:t>2017</w:t>
            </w:r>
          </w:p>
        </w:tc>
        <w:tc>
          <w:tcPr>
            <w:tcW w:w="960" w:type="dxa"/>
            <w:shd w:val="clear" w:color="auto" w:fill="DEEAF6" w:themeFill="accent5" w:themeFillTint="33"/>
            <w:noWrap/>
            <w:hideMark/>
          </w:tcPr>
          <w:p w14:paraId="6ECFCAE6" w14:textId="77777777" w:rsidR="00205E29" w:rsidRPr="00A00670" w:rsidRDefault="00205E29" w:rsidP="009F7448">
            <w:pPr>
              <w:jc w:val="center"/>
              <w:rPr>
                <w:rFonts w:ascii="Calibri" w:eastAsia="Times New Roman" w:hAnsi="Calibri" w:cs="Calibri"/>
                <w:b/>
                <w:bCs/>
                <w:lang w:eastAsia="sl-SI"/>
              </w:rPr>
            </w:pPr>
            <w:r w:rsidRPr="00A00670">
              <w:rPr>
                <w:rFonts w:ascii="Calibri" w:eastAsia="Times New Roman" w:hAnsi="Calibri" w:cs="Calibri"/>
                <w:b/>
                <w:bCs/>
                <w:lang w:eastAsia="sl-SI"/>
              </w:rPr>
              <w:t>2018</w:t>
            </w:r>
          </w:p>
        </w:tc>
        <w:tc>
          <w:tcPr>
            <w:tcW w:w="960" w:type="dxa"/>
            <w:shd w:val="clear" w:color="auto" w:fill="DEEAF6" w:themeFill="accent5" w:themeFillTint="33"/>
            <w:noWrap/>
            <w:hideMark/>
          </w:tcPr>
          <w:p w14:paraId="34A7CB86" w14:textId="77777777" w:rsidR="00205E29" w:rsidRPr="00A00670" w:rsidRDefault="00205E29" w:rsidP="009F7448">
            <w:pPr>
              <w:jc w:val="center"/>
              <w:rPr>
                <w:rFonts w:ascii="Calibri" w:eastAsia="Times New Roman" w:hAnsi="Calibri" w:cs="Calibri"/>
                <w:b/>
                <w:bCs/>
                <w:lang w:eastAsia="sl-SI"/>
              </w:rPr>
            </w:pPr>
            <w:r w:rsidRPr="00A00670">
              <w:rPr>
                <w:rFonts w:ascii="Calibri" w:eastAsia="Times New Roman" w:hAnsi="Calibri" w:cs="Calibri"/>
                <w:b/>
                <w:bCs/>
                <w:lang w:eastAsia="sl-SI"/>
              </w:rPr>
              <w:t>2019</w:t>
            </w:r>
          </w:p>
        </w:tc>
        <w:tc>
          <w:tcPr>
            <w:tcW w:w="960" w:type="dxa"/>
            <w:shd w:val="clear" w:color="auto" w:fill="DEEAF6" w:themeFill="accent5" w:themeFillTint="33"/>
            <w:noWrap/>
            <w:hideMark/>
          </w:tcPr>
          <w:p w14:paraId="243791CC" w14:textId="77777777" w:rsidR="00205E29" w:rsidRPr="00A00670" w:rsidRDefault="00205E29" w:rsidP="009F7448">
            <w:pPr>
              <w:jc w:val="center"/>
              <w:rPr>
                <w:rFonts w:ascii="Calibri" w:eastAsia="Times New Roman" w:hAnsi="Calibri" w:cs="Calibri"/>
                <w:b/>
                <w:bCs/>
                <w:lang w:eastAsia="sl-SI"/>
              </w:rPr>
            </w:pPr>
            <w:r w:rsidRPr="00A00670">
              <w:rPr>
                <w:rFonts w:ascii="Calibri" w:eastAsia="Times New Roman" w:hAnsi="Calibri" w:cs="Calibri"/>
                <w:b/>
                <w:bCs/>
                <w:lang w:eastAsia="sl-SI"/>
              </w:rPr>
              <w:t>2020</w:t>
            </w:r>
          </w:p>
        </w:tc>
      </w:tr>
      <w:tr w:rsidR="00205E29" w:rsidRPr="00A00670" w14:paraId="2412CAF0" w14:textId="77777777" w:rsidTr="009F7448">
        <w:trPr>
          <w:trHeight w:val="300"/>
        </w:trPr>
        <w:tc>
          <w:tcPr>
            <w:tcW w:w="3680" w:type="dxa"/>
            <w:hideMark/>
          </w:tcPr>
          <w:p w14:paraId="0E1CEFC2" w14:textId="0EE70665" w:rsidR="00205E29" w:rsidRPr="00A00670" w:rsidRDefault="00205E29" w:rsidP="009F7448">
            <w:pPr>
              <w:jc w:val="both"/>
              <w:rPr>
                <w:rFonts w:ascii="Calibri" w:eastAsia="Times New Roman" w:hAnsi="Calibri" w:cs="Calibri"/>
                <w:bCs/>
                <w:lang w:eastAsia="sl-SI"/>
              </w:rPr>
            </w:pPr>
            <w:r w:rsidRPr="00A00670">
              <w:rPr>
                <w:rFonts w:ascii="Calibri" w:eastAsia="Times New Roman" w:hAnsi="Calibri" w:cs="Calibri"/>
                <w:bCs/>
                <w:lang w:eastAsia="sl-SI"/>
              </w:rPr>
              <w:t>Š</w:t>
            </w:r>
            <w:r w:rsidR="009F7448" w:rsidRPr="00A00670">
              <w:rPr>
                <w:rFonts w:ascii="Calibri" w:eastAsia="Times New Roman" w:hAnsi="Calibri" w:cs="Calibri"/>
                <w:bCs/>
                <w:lang w:eastAsia="sl-SI"/>
              </w:rPr>
              <w:t xml:space="preserve">tevilo pogodb </w:t>
            </w:r>
            <w:r w:rsidRPr="00A00670">
              <w:rPr>
                <w:rFonts w:ascii="Calibri" w:eastAsia="Times New Roman" w:hAnsi="Calibri" w:cs="Calibri"/>
                <w:bCs/>
                <w:lang w:eastAsia="sl-SI"/>
              </w:rPr>
              <w:t>(v tisočih)</w:t>
            </w:r>
          </w:p>
        </w:tc>
        <w:tc>
          <w:tcPr>
            <w:tcW w:w="960" w:type="dxa"/>
            <w:noWrap/>
            <w:vAlign w:val="bottom"/>
            <w:hideMark/>
          </w:tcPr>
          <w:p w14:paraId="07269C2E" w14:textId="77777777" w:rsidR="00205E29" w:rsidRPr="00A00670" w:rsidRDefault="00205E29" w:rsidP="009F7448">
            <w:pPr>
              <w:jc w:val="right"/>
              <w:rPr>
                <w:rFonts w:ascii="Calibri" w:eastAsia="Times New Roman" w:hAnsi="Calibri" w:cs="Calibri"/>
                <w:lang w:eastAsia="sl-SI"/>
              </w:rPr>
            </w:pPr>
            <w:r w:rsidRPr="00A00670">
              <w:rPr>
                <w:rFonts w:ascii="Calibri" w:hAnsi="Calibri" w:cs="Calibri"/>
              </w:rPr>
              <w:t>30,6</w:t>
            </w:r>
          </w:p>
        </w:tc>
        <w:tc>
          <w:tcPr>
            <w:tcW w:w="960" w:type="dxa"/>
            <w:noWrap/>
            <w:vAlign w:val="bottom"/>
            <w:hideMark/>
          </w:tcPr>
          <w:p w14:paraId="6F424BC0" w14:textId="77777777" w:rsidR="00205E29" w:rsidRPr="00A00670" w:rsidRDefault="00205E29" w:rsidP="009F7448">
            <w:pPr>
              <w:jc w:val="right"/>
              <w:rPr>
                <w:rFonts w:ascii="Calibri" w:eastAsia="Times New Roman" w:hAnsi="Calibri" w:cs="Calibri"/>
                <w:lang w:eastAsia="sl-SI"/>
              </w:rPr>
            </w:pPr>
            <w:r w:rsidRPr="00A00670">
              <w:rPr>
                <w:rFonts w:ascii="Calibri" w:hAnsi="Calibri" w:cs="Calibri"/>
              </w:rPr>
              <w:t>34,3</w:t>
            </w:r>
          </w:p>
        </w:tc>
        <w:tc>
          <w:tcPr>
            <w:tcW w:w="960" w:type="dxa"/>
            <w:noWrap/>
            <w:vAlign w:val="bottom"/>
            <w:hideMark/>
          </w:tcPr>
          <w:p w14:paraId="5D610A0C" w14:textId="77777777" w:rsidR="00205E29" w:rsidRPr="00A00670" w:rsidRDefault="00205E29" w:rsidP="009F7448">
            <w:pPr>
              <w:jc w:val="right"/>
              <w:rPr>
                <w:rFonts w:ascii="Calibri" w:eastAsia="Times New Roman" w:hAnsi="Calibri" w:cs="Calibri"/>
                <w:lang w:eastAsia="sl-SI"/>
              </w:rPr>
            </w:pPr>
            <w:r w:rsidRPr="00A00670">
              <w:rPr>
                <w:rFonts w:ascii="Calibri" w:hAnsi="Calibri" w:cs="Calibri"/>
              </w:rPr>
              <w:t>36,9</w:t>
            </w:r>
          </w:p>
        </w:tc>
        <w:tc>
          <w:tcPr>
            <w:tcW w:w="960" w:type="dxa"/>
            <w:noWrap/>
            <w:vAlign w:val="bottom"/>
            <w:hideMark/>
          </w:tcPr>
          <w:p w14:paraId="6ECB4D97" w14:textId="77777777" w:rsidR="00205E29" w:rsidRPr="00A00670" w:rsidRDefault="00205E29" w:rsidP="009F7448">
            <w:pPr>
              <w:jc w:val="right"/>
              <w:rPr>
                <w:rFonts w:ascii="Calibri" w:eastAsia="Times New Roman" w:hAnsi="Calibri" w:cs="Calibri"/>
                <w:lang w:eastAsia="sl-SI"/>
              </w:rPr>
            </w:pPr>
            <w:r w:rsidRPr="00A00670">
              <w:rPr>
                <w:rFonts w:ascii="Calibri" w:hAnsi="Calibri" w:cs="Calibri"/>
              </w:rPr>
              <w:t>35,3</w:t>
            </w:r>
          </w:p>
        </w:tc>
        <w:tc>
          <w:tcPr>
            <w:tcW w:w="960" w:type="dxa"/>
            <w:noWrap/>
            <w:vAlign w:val="bottom"/>
            <w:hideMark/>
          </w:tcPr>
          <w:p w14:paraId="086C94E4" w14:textId="77777777" w:rsidR="00205E29" w:rsidRPr="00A00670" w:rsidRDefault="00205E29" w:rsidP="009F7448">
            <w:pPr>
              <w:jc w:val="right"/>
              <w:rPr>
                <w:rFonts w:ascii="Calibri" w:eastAsia="Times New Roman" w:hAnsi="Calibri" w:cs="Calibri"/>
                <w:lang w:eastAsia="sl-SI"/>
              </w:rPr>
            </w:pPr>
            <w:r w:rsidRPr="00A00670">
              <w:rPr>
                <w:rFonts w:ascii="Calibri" w:hAnsi="Calibri" w:cs="Calibri"/>
              </w:rPr>
              <w:t>36,4</w:t>
            </w:r>
          </w:p>
        </w:tc>
        <w:tc>
          <w:tcPr>
            <w:tcW w:w="960" w:type="dxa"/>
            <w:noWrap/>
            <w:vAlign w:val="bottom"/>
            <w:hideMark/>
          </w:tcPr>
          <w:p w14:paraId="4898AC32" w14:textId="77777777" w:rsidR="00205E29" w:rsidRPr="00A00670" w:rsidRDefault="00205E29" w:rsidP="009F7448">
            <w:pPr>
              <w:jc w:val="right"/>
              <w:rPr>
                <w:rFonts w:ascii="Calibri" w:eastAsia="Times New Roman" w:hAnsi="Calibri" w:cs="Calibri"/>
                <w:lang w:eastAsia="sl-SI"/>
              </w:rPr>
            </w:pPr>
            <w:r w:rsidRPr="00A00670">
              <w:rPr>
                <w:rFonts w:ascii="Calibri" w:hAnsi="Calibri" w:cs="Calibri"/>
              </w:rPr>
              <w:t>31,2</w:t>
            </w:r>
          </w:p>
        </w:tc>
      </w:tr>
      <w:tr w:rsidR="00205E29" w:rsidRPr="00A00670" w14:paraId="1A66BFD2" w14:textId="77777777" w:rsidTr="009F7448">
        <w:trPr>
          <w:trHeight w:val="300"/>
        </w:trPr>
        <w:tc>
          <w:tcPr>
            <w:tcW w:w="3680" w:type="dxa"/>
            <w:hideMark/>
          </w:tcPr>
          <w:p w14:paraId="00002BB0" w14:textId="21157594" w:rsidR="00205E29" w:rsidRPr="00A00670" w:rsidRDefault="009F7448" w:rsidP="009F7448">
            <w:pPr>
              <w:jc w:val="both"/>
              <w:rPr>
                <w:rFonts w:ascii="Calibri" w:eastAsia="Times New Roman" w:hAnsi="Calibri" w:cs="Calibri"/>
                <w:bCs/>
                <w:lang w:eastAsia="sl-SI"/>
              </w:rPr>
            </w:pPr>
            <w:r w:rsidRPr="00A00670">
              <w:rPr>
                <w:rFonts w:ascii="Calibri" w:eastAsia="Times New Roman" w:hAnsi="Calibri" w:cs="Calibri"/>
                <w:bCs/>
                <w:lang w:eastAsia="sl-SI"/>
              </w:rPr>
              <w:t>Vrednost pogodb</w:t>
            </w:r>
            <w:r w:rsidR="00205E29" w:rsidRPr="00A00670">
              <w:rPr>
                <w:rFonts w:ascii="Calibri" w:eastAsia="Times New Roman" w:hAnsi="Calibri" w:cs="Calibri"/>
                <w:bCs/>
                <w:lang w:eastAsia="sl-SI"/>
              </w:rPr>
              <w:t xml:space="preserve"> (v milijardah  €)</w:t>
            </w:r>
          </w:p>
        </w:tc>
        <w:tc>
          <w:tcPr>
            <w:tcW w:w="960" w:type="dxa"/>
            <w:noWrap/>
            <w:vAlign w:val="bottom"/>
            <w:hideMark/>
          </w:tcPr>
          <w:p w14:paraId="2198B1E4" w14:textId="77777777" w:rsidR="00205E29" w:rsidRPr="00A00670" w:rsidRDefault="00205E29" w:rsidP="009F7448">
            <w:pPr>
              <w:jc w:val="right"/>
              <w:rPr>
                <w:rFonts w:ascii="Calibri" w:eastAsia="Times New Roman" w:hAnsi="Calibri" w:cs="Calibri"/>
                <w:lang w:eastAsia="sl-SI"/>
              </w:rPr>
            </w:pPr>
            <w:r w:rsidRPr="00A00670">
              <w:rPr>
                <w:rFonts w:ascii="Calibri" w:hAnsi="Calibri" w:cs="Calibri"/>
              </w:rPr>
              <w:t>1,8</w:t>
            </w:r>
          </w:p>
        </w:tc>
        <w:tc>
          <w:tcPr>
            <w:tcW w:w="960" w:type="dxa"/>
            <w:noWrap/>
            <w:vAlign w:val="bottom"/>
            <w:hideMark/>
          </w:tcPr>
          <w:p w14:paraId="79ED3F15" w14:textId="77777777" w:rsidR="00205E29" w:rsidRPr="00A00670" w:rsidRDefault="00205E29" w:rsidP="009F7448">
            <w:pPr>
              <w:jc w:val="right"/>
              <w:rPr>
                <w:rFonts w:ascii="Calibri" w:eastAsia="Times New Roman" w:hAnsi="Calibri" w:cs="Calibri"/>
                <w:lang w:eastAsia="sl-SI"/>
              </w:rPr>
            </w:pPr>
            <w:r w:rsidRPr="00A00670">
              <w:rPr>
                <w:rFonts w:ascii="Calibri" w:hAnsi="Calibri" w:cs="Calibri"/>
              </w:rPr>
              <w:t>2,3</w:t>
            </w:r>
          </w:p>
        </w:tc>
        <w:tc>
          <w:tcPr>
            <w:tcW w:w="960" w:type="dxa"/>
            <w:noWrap/>
            <w:vAlign w:val="bottom"/>
            <w:hideMark/>
          </w:tcPr>
          <w:p w14:paraId="1D9A0CA8" w14:textId="77777777" w:rsidR="00205E29" w:rsidRPr="00A00670" w:rsidRDefault="00205E29" w:rsidP="009F7448">
            <w:pPr>
              <w:jc w:val="right"/>
              <w:rPr>
                <w:rFonts w:ascii="Calibri" w:eastAsia="Times New Roman" w:hAnsi="Calibri" w:cs="Calibri"/>
                <w:lang w:eastAsia="sl-SI"/>
              </w:rPr>
            </w:pPr>
            <w:r w:rsidRPr="00A00670">
              <w:rPr>
                <w:rFonts w:ascii="Calibri" w:hAnsi="Calibri" w:cs="Calibri"/>
              </w:rPr>
              <w:t>2,5</w:t>
            </w:r>
          </w:p>
        </w:tc>
        <w:tc>
          <w:tcPr>
            <w:tcW w:w="960" w:type="dxa"/>
            <w:noWrap/>
            <w:vAlign w:val="bottom"/>
            <w:hideMark/>
          </w:tcPr>
          <w:p w14:paraId="39E43E9B" w14:textId="77777777" w:rsidR="00205E29" w:rsidRPr="00A00670" w:rsidRDefault="00205E29" w:rsidP="009F7448">
            <w:pPr>
              <w:jc w:val="right"/>
              <w:rPr>
                <w:rFonts w:ascii="Calibri" w:eastAsia="Times New Roman" w:hAnsi="Calibri" w:cs="Calibri"/>
                <w:lang w:eastAsia="sl-SI"/>
              </w:rPr>
            </w:pPr>
            <w:r w:rsidRPr="00A00670">
              <w:rPr>
                <w:rFonts w:ascii="Calibri" w:hAnsi="Calibri" w:cs="Calibri"/>
              </w:rPr>
              <w:t>2,6</w:t>
            </w:r>
          </w:p>
        </w:tc>
        <w:tc>
          <w:tcPr>
            <w:tcW w:w="960" w:type="dxa"/>
            <w:noWrap/>
            <w:vAlign w:val="bottom"/>
            <w:hideMark/>
          </w:tcPr>
          <w:p w14:paraId="04429548" w14:textId="77777777" w:rsidR="00205E29" w:rsidRPr="00A00670" w:rsidRDefault="00205E29" w:rsidP="009F7448">
            <w:pPr>
              <w:jc w:val="right"/>
              <w:rPr>
                <w:rFonts w:ascii="Calibri" w:eastAsia="Times New Roman" w:hAnsi="Calibri" w:cs="Calibri"/>
                <w:lang w:eastAsia="sl-SI"/>
              </w:rPr>
            </w:pPr>
            <w:r w:rsidRPr="00A00670">
              <w:rPr>
                <w:rFonts w:ascii="Calibri" w:hAnsi="Calibri" w:cs="Calibri"/>
              </w:rPr>
              <w:t>2,8</w:t>
            </w:r>
          </w:p>
        </w:tc>
        <w:tc>
          <w:tcPr>
            <w:tcW w:w="960" w:type="dxa"/>
            <w:noWrap/>
            <w:vAlign w:val="bottom"/>
            <w:hideMark/>
          </w:tcPr>
          <w:p w14:paraId="09659DE3" w14:textId="77777777" w:rsidR="00205E29" w:rsidRPr="00A00670" w:rsidRDefault="00205E29" w:rsidP="009F7448">
            <w:pPr>
              <w:jc w:val="right"/>
              <w:rPr>
                <w:rFonts w:ascii="Calibri" w:eastAsia="Times New Roman" w:hAnsi="Calibri" w:cs="Calibri"/>
                <w:lang w:eastAsia="sl-SI"/>
              </w:rPr>
            </w:pPr>
            <w:r w:rsidRPr="00A00670">
              <w:rPr>
                <w:rFonts w:ascii="Calibri" w:hAnsi="Calibri" w:cs="Calibri"/>
              </w:rPr>
              <w:t>2,2</w:t>
            </w:r>
          </w:p>
        </w:tc>
      </w:tr>
    </w:tbl>
    <w:p w14:paraId="72D99129" w14:textId="77777777" w:rsidR="00205E29" w:rsidRPr="00A00670" w:rsidRDefault="00205E29" w:rsidP="00205E29">
      <w:pPr>
        <w:pStyle w:val="janopombe"/>
        <w:ind w:left="284" w:hanging="284"/>
        <w:jc w:val="both"/>
        <w:rPr>
          <w:sz w:val="20"/>
          <w:szCs w:val="20"/>
        </w:rPr>
      </w:pPr>
      <w:r w:rsidRPr="00A00670">
        <w:rPr>
          <w:sz w:val="20"/>
          <w:szCs w:val="20"/>
        </w:rPr>
        <w:t>Opomba:</w:t>
      </w:r>
    </w:p>
    <w:p w14:paraId="1FA2C2BD" w14:textId="77777777" w:rsidR="00205E29" w:rsidRPr="00A00670" w:rsidRDefault="00205E29" w:rsidP="00205E29">
      <w:pPr>
        <w:pStyle w:val="janopombe"/>
        <w:numPr>
          <w:ilvl w:val="0"/>
          <w:numId w:val="5"/>
        </w:numPr>
        <w:jc w:val="both"/>
        <w:rPr>
          <w:sz w:val="20"/>
          <w:szCs w:val="20"/>
        </w:rPr>
      </w:pPr>
      <w:r w:rsidRPr="00A00670">
        <w:rPr>
          <w:sz w:val="20"/>
          <w:szCs w:val="20"/>
        </w:rPr>
        <w:t xml:space="preserve">za prikaz števila in vrednosti kupoprodajnih poslov so upoštevani vsi evidentirani posli z nepremičninami (deli stavb in parcelami) oziroma vse kupoprodajne pogodbe, ki so bile sklenjene na prostem trgu, na prostovoljnih javnih dražbah, z javnimi prodajami v izvršilnih in stečajnih postopkih, kupoprodajne pogodbe, sklenjene med povezanimi fizičnimi ali pravnimi osebami ter pogodbe za finančni </w:t>
      </w:r>
      <w:proofErr w:type="spellStart"/>
      <w:r w:rsidRPr="00A00670">
        <w:rPr>
          <w:sz w:val="20"/>
          <w:szCs w:val="20"/>
        </w:rPr>
        <w:t>lizing</w:t>
      </w:r>
      <w:proofErr w:type="spellEnd"/>
      <w:r w:rsidRPr="00A00670">
        <w:rPr>
          <w:sz w:val="20"/>
          <w:szCs w:val="20"/>
        </w:rPr>
        <w:t xml:space="preserve"> nepremičnin. </w:t>
      </w:r>
    </w:p>
    <w:p w14:paraId="4215956A" w14:textId="77777777" w:rsidR="00205E29" w:rsidRPr="00A00670" w:rsidRDefault="00205E29" w:rsidP="00205E29"/>
    <w:p w14:paraId="5111EBA8" w14:textId="28834D4A" w:rsidR="00205E29" w:rsidRPr="00A00670" w:rsidRDefault="00205E29" w:rsidP="00205E29">
      <w:pPr>
        <w:jc w:val="both"/>
      </w:pPr>
      <w:r w:rsidRPr="00A00670">
        <w:t xml:space="preserve">Glede na omejitve  trgovanja z nepremičninami je bil </w:t>
      </w:r>
      <w:r w:rsidR="009F7448" w:rsidRPr="00A00670">
        <w:t xml:space="preserve">v preteklem letu </w:t>
      </w:r>
      <w:r w:rsidRPr="00A00670">
        <w:t xml:space="preserve">padec števila sklenjenih kupoprodajnih poslov in njihove skupne vrednosti zaradi epidemije Covid-19 manjši od pričakovanega. </w:t>
      </w:r>
    </w:p>
    <w:p w14:paraId="378A784E" w14:textId="77777777" w:rsidR="00205E29" w:rsidRPr="00A00670" w:rsidRDefault="00205E29" w:rsidP="00205E29">
      <w:pPr>
        <w:pStyle w:val="Brezrazmikov"/>
      </w:pPr>
    </w:p>
    <w:p w14:paraId="56360DDE" w14:textId="3D460E0A" w:rsidR="00205E29" w:rsidRPr="00A00670" w:rsidRDefault="00205E29" w:rsidP="00205E29">
      <w:pPr>
        <w:pStyle w:val="NAPISp"/>
        <w:jc w:val="both"/>
        <w:rPr>
          <w:szCs w:val="24"/>
        </w:rPr>
      </w:pPr>
      <w:r w:rsidRPr="00A00670">
        <w:t xml:space="preserve">Slika </w:t>
      </w:r>
      <w:fldSimple w:instr=" SEQ Slika \* ARABIC ">
        <w:r w:rsidR="00DC0028" w:rsidRPr="00A00670">
          <w:rPr>
            <w:noProof/>
          </w:rPr>
          <w:t>1</w:t>
        </w:r>
      </w:fldSimple>
      <w:r w:rsidRPr="00A00670">
        <w:t>: Število in</w:t>
      </w:r>
      <w:r w:rsidRPr="00A00670">
        <w:rPr>
          <w:szCs w:val="24"/>
        </w:rPr>
        <w:t xml:space="preserve"> skupna vrednost sklenjenih kupoprodajnih pogodb za nepremičnine, Slovenija, letno od 2015 do 2020</w:t>
      </w:r>
    </w:p>
    <w:p w14:paraId="72BEED10" w14:textId="77777777" w:rsidR="00205E29" w:rsidRPr="00A00670" w:rsidRDefault="00205E29" w:rsidP="00205E29">
      <w:pPr>
        <w:pStyle w:val="Brezrazmikov"/>
      </w:pPr>
      <w:r w:rsidRPr="00A00670">
        <w:rPr>
          <w:noProof/>
          <w:lang w:eastAsia="sl-SI"/>
        </w:rPr>
        <w:drawing>
          <wp:inline distT="0" distB="0" distL="0" distR="0" wp14:anchorId="16B5B11C" wp14:editId="53583BDD">
            <wp:extent cx="5726162" cy="2714625"/>
            <wp:effectExtent l="0" t="0" r="8255" b="0"/>
            <wp:docPr id="1" name="Slika 1" descr="Grafični prikaz gibanja števila in vrednosti kupoprodajnih poslov z nepremičninami od leta 2015 do 2020, na osnovi podatkov iz pregledni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afični prikaz gibanja števila in vrednosti kupoprodajnih poslov z nepremičninami od leta 2015 do 2020, na osnovi podatkov iz preglednice 1."/>
                    <pic:cNvPicPr/>
                  </pic:nvPicPr>
                  <pic:blipFill>
                    <a:blip r:embed="rId8"/>
                    <a:stretch>
                      <a:fillRect/>
                    </a:stretch>
                  </pic:blipFill>
                  <pic:spPr>
                    <a:xfrm>
                      <a:off x="0" y="0"/>
                      <a:ext cx="5738374" cy="2720414"/>
                    </a:xfrm>
                    <a:prstGeom prst="rect">
                      <a:avLst/>
                    </a:prstGeom>
                  </pic:spPr>
                </pic:pic>
              </a:graphicData>
            </a:graphic>
          </wp:inline>
        </w:drawing>
      </w:r>
    </w:p>
    <w:p w14:paraId="219982D7" w14:textId="77777777" w:rsidR="00205E29" w:rsidRPr="00A00670" w:rsidRDefault="00205E29" w:rsidP="00205E29">
      <w:pPr>
        <w:pStyle w:val="Brezrazmikov"/>
      </w:pPr>
    </w:p>
    <w:p w14:paraId="193D27AF" w14:textId="77777777" w:rsidR="00205E29" w:rsidRPr="00A00670" w:rsidRDefault="00205E29" w:rsidP="00205E29">
      <w:pPr>
        <w:pStyle w:val="Brezrazmikov"/>
      </w:pPr>
    </w:p>
    <w:p w14:paraId="5A28132E" w14:textId="77777777" w:rsidR="00205E29" w:rsidRPr="00A00670" w:rsidRDefault="00205E29" w:rsidP="00205E29">
      <w:r w:rsidRPr="00A00670">
        <w:br w:type="page"/>
      </w:r>
    </w:p>
    <w:p w14:paraId="4E74A4CD" w14:textId="77777777" w:rsidR="00205E29" w:rsidRPr="00A00670" w:rsidRDefault="00205E29" w:rsidP="00205E29">
      <w:pPr>
        <w:jc w:val="both"/>
      </w:pPr>
      <w:r w:rsidRPr="00A00670">
        <w:lastRenderedPageBreak/>
        <w:t xml:space="preserve">Vpliv epidemije na promet z nepremičninami je najbolje razviden iz gibanja mesečnega števila sklenjenih kupoprodajnih pogodb in njihove skupne vrednosti v letu 2020 ter primerjave z letom 2019 (Slika 2). </w:t>
      </w:r>
    </w:p>
    <w:p w14:paraId="6BE3252F" w14:textId="1CA757B5" w:rsidR="00205E29" w:rsidRPr="00A00670" w:rsidRDefault="00205E29" w:rsidP="00205E29">
      <w:pPr>
        <w:jc w:val="both"/>
      </w:pPr>
      <w:r w:rsidRPr="00A00670">
        <w:t>Marca, po prvi razglasitvi epidemije in ukrepov za njeno zajezitev, ki so vključevali tudi ustavitev izvajanja storitev nepremičninskega posredovanja oziroma terenskih ogledov nepremičnin, se je število sklenjenih kupoprodajnih pogodb (evidentiranih jih je bilo okoli 2.200) v primerjavi s februarjem zmanjšalo za dobrih 20 odstotkov, njihova skupna vrednost (okoli 164 m</w:t>
      </w:r>
      <w:r w:rsidR="00D04FBC" w:rsidRPr="00A00670">
        <w:t>ilijonov evrov) pa za slabih 20</w:t>
      </w:r>
      <w:r w:rsidRPr="00A00670">
        <w:t xml:space="preserve"> odstotkov. V primerjavi z marcem 2019 je bilo število sklenjenih poslov manjše za slabo tretjino, njihova skupna vrednost pa za okoli 15 odstotkov. </w:t>
      </w:r>
    </w:p>
    <w:p w14:paraId="04167EAE" w14:textId="724BC61E" w:rsidR="00205E29" w:rsidRPr="00A00670" w:rsidRDefault="00205E29" w:rsidP="00205E29">
      <w:pPr>
        <w:jc w:val="both"/>
      </w:pPr>
      <w:r w:rsidRPr="00A00670">
        <w:t>Aprila je bilo število kupoprodajnih pogodb še za 45 odstotkov manjše kot marca, njihova skupna vrednost pa skoraj za polovico. V primerjavi s februarjem 2020 sta bila število in vrednost sklenjenih nepremičninskih poslov manjša za dobrih 55 odstotkov, v primerjav</w:t>
      </w:r>
      <w:r w:rsidR="00D04FBC" w:rsidRPr="00A00670">
        <w:t>i z aprilom 2019</w:t>
      </w:r>
      <w:r w:rsidRPr="00A00670">
        <w:t xml:space="preserve"> </w:t>
      </w:r>
      <w:r w:rsidR="00D04FBC" w:rsidRPr="00A00670">
        <w:t xml:space="preserve">je bilo njihovo število manjše </w:t>
      </w:r>
      <w:r w:rsidRPr="00A00670">
        <w:t xml:space="preserve">za okoli 65 </w:t>
      </w:r>
      <w:r w:rsidR="00D04FBC" w:rsidRPr="00A00670">
        <w:t xml:space="preserve">odstotkov, njihova vrednost pa za okoli </w:t>
      </w:r>
      <w:r w:rsidRPr="00A00670">
        <w:t>60 odstotkov.</w:t>
      </w:r>
    </w:p>
    <w:p w14:paraId="6E067D66" w14:textId="77777777" w:rsidR="00205E29" w:rsidRPr="00A00670" w:rsidRDefault="00205E29" w:rsidP="00205E29">
      <w:pPr>
        <w:jc w:val="both"/>
      </w:pPr>
      <w:r w:rsidRPr="00A00670">
        <w:t>Maja, ko so ukrepi nehali veljati, se je promet z nepremičninami, predvsem na račun pospešenega sklepanja poslov s stanovanjskimi nepremičninami, začel hitro povečevati. V primerjavi z aprilom 2020 se je število sklenjenih poslov povečalo za dobrih 55 odstotkov, njihova skupna vrednost pa za več kot 40 odstotkov. V primerjavi z majem 2019 je bilo sicer število poslov še vedno manjše za okoli 45 odstotkov, njihova skupna vrednost pa za okoli 65 odstotkov.</w:t>
      </w:r>
    </w:p>
    <w:p w14:paraId="0A05A7FF" w14:textId="77777777" w:rsidR="00205E29" w:rsidRPr="00A00670" w:rsidRDefault="00205E29" w:rsidP="00205E29">
      <w:pPr>
        <w:jc w:val="both"/>
      </w:pPr>
      <w:r w:rsidRPr="00A00670">
        <w:t xml:space="preserve">Junija se je število sklenjenih kupoprodajnih pogodb za nepremičnine v primerjavi z majem povečalo še za slabih 55 odstotkov, njihova skupna vrednost pa za skoraj 60 odstotkov. Število sklenjenih pogodb je že za nekaj odstotkov preseglo junijskega leta 2019, medtem ko je bila njihova skupna vrednost, na račun manjše prodaje poslovnih nepremičnin, za okoli 15 odstotkov manjša. </w:t>
      </w:r>
    </w:p>
    <w:p w14:paraId="160A9185" w14:textId="77777777" w:rsidR="00205E29" w:rsidRPr="00A00670" w:rsidRDefault="00205E29" w:rsidP="00205E29">
      <w:pPr>
        <w:jc w:val="both"/>
      </w:pPr>
      <w:r w:rsidRPr="00A00670">
        <w:t>Julija se je naraščanje prometa z nepremičninami nadaljevalo. Število poslov se je v primerjavi z junijem povečalo za okoli 15 odstotkov, njihova skupna vrednost pa za 10 odstotkov. V primerjavi z julijem 2019 je bilo število sklenjenih poslov skorajda enako, njihova skupna vrednost pa, iz istega razloga kot junija, za 20 odstotkov manjša.</w:t>
      </w:r>
    </w:p>
    <w:p w14:paraId="2E7D516B" w14:textId="05F6DE0F" w:rsidR="00205E29" w:rsidRPr="00A00670" w:rsidRDefault="00205E29" w:rsidP="00205E29">
      <w:pPr>
        <w:jc w:val="both"/>
      </w:pPr>
      <w:r w:rsidRPr="00A00670">
        <w:t xml:space="preserve">Avgusta, ko na slovenskem nepremičninskem trgu praviloma vlada mrtvilo, se je število sklenjenih kupoprodajnih pogodb v primerjavi z julijem zmanjšalo za slabih 20 odstotkov, njihova skupna vrednost pa za dobrih 15 odstotkov. Kljub temu sta bila število sklenjenih poslov in njihova skupna vrednost v primerjavi z avgustom 2019 za </w:t>
      </w:r>
      <w:r w:rsidR="00D46786" w:rsidRPr="00A00670">
        <w:t>okoli</w:t>
      </w:r>
      <w:r w:rsidRPr="00A00670">
        <w:t xml:space="preserve"> 10 odstotkov višja. Očitno so prodajalci in kupci še vedno poizkušali nadoknaditi spomladanski izpad nepremičninskega trgovanja. Tudi septembra sta bila število in skupna vrednost sklenjenih poslov za skoraj 10 odstotkov večja kot septembra leto prej.</w:t>
      </w:r>
    </w:p>
    <w:p w14:paraId="18A92EE5" w14:textId="3C7317B7" w:rsidR="00205E29" w:rsidRPr="00A00670" w:rsidRDefault="00205E29" w:rsidP="00205E29">
      <w:pPr>
        <w:jc w:val="both"/>
      </w:pPr>
      <w:r w:rsidRPr="00A00670">
        <w:t>Oktobra, z razglasitvijo drugega vala epidemije, ko</w:t>
      </w:r>
      <w:r w:rsidR="00D46786" w:rsidRPr="00A00670">
        <w:t xml:space="preserve"> je</w:t>
      </w:r>
      <w:r w:rsidRPr="00A00670">
        <w:t xml:space="preserve"> prišlo do ponovne prepovedi izvajanja nepremičninskih ogledov, sta število in skupna vrednost sklenjenih nepremičninskih pogodb v primerjavi s septembrom padla za slabih </w:t>
      </w:r>
      <w:r w:rsidR="00D46786" w:rsidRPr="00A00670">
        <w:t>5</w:t>
      </w:r>
      <w:r w:rsidRPr="00A00670">
        <w:t xml:space="preserve"> odstotk</w:t>
      </w:r>
      <w:r w:rsidR="00D46786" w:rsidRPr="00A00670">
        <w:t>ov</w:t>
      </w:r>
      <w:r w:rsidRPr="00A00670">
        <w:t xml:space="preserve"> in sta bila za </w:t>
      </w:r>
      <w:r w:rsidR="00D46786" w:rsidRPr="00A00670">
        <w:t xml:space="preserve">dobre 3 </w:t>
      </w:r>
      <w:r w:rsidRPr="00A00670">
        <w:t>odstotk</w:t>
      </w:r>
      <w:r w:rsidR="00D46786" w:rsidRPr="00A00670">
        <w:t>e</w:t>
      </w:r>
      <w:r w:rsidRPr="00A00670">
        <w:t xml:space="preserve"> manjša kot oktobra 2019.</w:t>
      </w:r>
    </w:p>
    <w:p w14:paraId="2D78C36F" w14:textId="77777777" w:rsidR="00205E29" w:rsidRPr="00A00670" w:rsidRDefault="00205E29" w:rsidP="00205E29">
      <w:r w:rsidRPr="00A00670">
        <w:br w:type="page"/>
      </w:r>
    </w:p>
    <w:p w14:paraId="0CEE54AA" w14:textId="6C1B13B4" w:rsidR="00205E29" w:rsidRPr="00A00670" w:rsidRDefault="00205E29" w:rsidP="00205E29">
      <w:pPr>
        <w:jc w:val="both"/>
      </w:pPr>
      <w:r w:rsidRPr="00A00670">
        <w:lastRenderedPageBreak/>
        <w:t xml:space="preserve">Upad prometa z nepremičninami se je nadaljeval tudi v novembru in decembru. Po izkušnjah sodeč za ta dva meseca </w:t>
      </w:r>
      <w:r w:rsidR="00D46786" w:rsidRPr="00A00670">
        <w:t xml:space="preserve">sicer </w:t>
      </w:r>
      <w:r w:rsidRPr="00A00670">
        <w:t>še nismo evidentirali vseh sklenjenih poslov, vendar je že iz začasnih podatkov razvidno, da je bil padec števila sklenjenih poslov bistveno manjši kot po prvi razglasitvi epidemije. Po naših ocenah je bilo število sklenjenih kupoprodajnih pogodb novembra 2020 v primerjavi z novembrom 2019 manjše za okoli 10 odstotkov, decembra 2020 pa v primerjavi z decembrom 2019 za skoraj 30 odstotkov. Pri tem ne gre zanemariti, da je prepoved opravljanja nepremičninskih ogledov, ki seveda bistveno vpliva na manjše število realiziranih kupoprodaj, ostala v veljavi vse do februarja letos.</w:t>
      </w:r>
    </w:p>
    <w:p w14:paraId="2E32C158" w14:textId="77777777" w:rsidR="00205E29" w:rsidRPr="00A00670" w:rsidRDefault="00205E29" w:rsidP="00205E29"/>
    <w:p w14:paraId="6C3020A9" w14:textId="3D4445FF" w:rsidR="00205E29" w:rsidRPr="00A00670" w:rsidRDefault="00205E29" w:rsidP="00205E29">
      <w:pPr>
        <w:pStyle w:val="NAPISp"/>
        <w:jc w:val="both"/>
      </w:pPr>
      <w:r w:rsidRPr="00A00670">
        <w:t xml:space="preserve">Slika </w:t>
      </w:r>
      <w:fldSimple w:instr=" SEQ Slika \* ARABIC ">
        <w:r w:rsidR="00DC0028" w:rsidRPr="00A00670">
          <w:rPr>
            <w:noProof/>
          </w:rPr>
          <w:t>2</w:t>
        </w:r>
      </w:fldSimple>
      <w:r w:rsidRPr="00A00670">
        <w:t>: Število in vrednost sklenjenih kupoprodajnih pogodb za nepremičnine, Slovenija, mesečno od januarja 2019 do decembra 2020</w:t>
      </w:r>
    </w:p>
    <w:p w14:paraId="0D61EF7B" w14:textId="77777777" w:rsidR="00205E29" w:rsidRPr="00A00670" w:rsidRDefault="00205E29" w:rsidP="00205E29">
      <w:pPr>
        <w:pStyle w:val="NAPISp"/>
        <w:jc w:val="both"/>
      </w:pPr>
      <w:r w:rsidRPr="00A00670">
        <w:rPr>
          <w:noProof/>
          <w:lang w:eastAsia="sl-SI"/>
        </w:rPr>
        <w:drawing>
          <wp:inline distT="0" distB="0" distL="0" distR="0" wp14:anchorId="7AFD6C11" wp14:editId="6727BFC2">
            <wp:extent cx="5761355" cy="2554941"/>
            <wp:effectExtent l="0" t="0" r="0" b="0"/>
            <wp:docPr id="3" name="Slika 3" descr="Grafični prikaz gibanja števila in vrednosti kupoprodajnih poslov po mesecih od januarja 2019 do decembra 2020, ki je tolmačeno v spremnem besedi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Grafični prikaz gibanja števila in vrednosti kupoprodajnih poslov po mesecih od januarja 2019 do decembra 2020, ki je tolmačeno v spremnem besedil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9539" cy="2558570"/>
                    </a:xfrm>
                    <a:prstGeom prst="rect">
                      <a:avLst/>
                    </a:prstGeom>
                    <a:noFill/>
                  </pic:spPr>
                </pic:pic>
              </a:graphicData>
            </a:graphic>
          </wp:inline>
        </w:drawing>
      </w:r>
    </w:p>
    <w:p w14:paraId="012CED5F" w14:textId="77777777" w:rsidR="00205E29" w:rsidRPr="00A00670" w:rsidRDefault="00205E29" w:rsidP="00205E29"/>
    <w:p w14:paraId="5D1C4A70" w14:textId="1D9D9A3D" w:rsidR="00205E29" w:rsidRPr="00A00670" w:rsidRDefault="00A00670" w:rsidP="00205E29">
      <w:pPr>
        <w:pStyle w:val="Brezrazmikov"/>
      </w:pPr>
      <w:r w:rsidRPr="00A00670">
        <w:t>Po preliminarnih podatkih je lani delež v skupni vrednosti sklenjenih nepremičninskih poslov za stanovanjske nepremičnine (stanovanja in hiše) znašal 66 odstotkov (oziroma dobre 1,4 milijarde evrov), za zemljišča za gradnjo stavb, ki so v več kot 90-ih odstotkih primerov namenjena gradnji stanovanjskih stavb, slabih 13 odstotkov (oziroma okoli 280 milijonov evrov), za poslovne nepremičnine (pisarne, trgovski, storitveni in gostinski lokali) 11 odstotkov (oziroma slabih 240 milijonov evrov), skupno za kmetijska in gozdna zemljišča pa slabe 4 odstotke (oziroma skoraj 80 milijonov evrov).</w:t>
      </w:r>
    </w:p>
    <w:p w14:paraId="216083D1" w14:textId="77777777" w:rsidR="00205E29" w:rsidRPr="00A00670" w:rsidRDefault="00205E29" w:rsidP="00205E29">
      <w:pPr>
        <w:rPr>
          <w:i/>
          <w:iCs/>
          <w:sz w:val="24"/>
          <w:szCs w:val="18"/>
        </w:rPr>
      </w:pPr>
      <w:r w:rsidRPr="00A00670">
        <w:br w:type="page"/>
      </w:r>
    </w:p>
    <w:p w14:paraId="0EADB1E9" w14:textId="2445E281" w:rsidR="00205E29" w:rsidRPr="00A00670" w:rsidRDefault="00205E29" w:rsidP="00205E29">
      <w:pPr>
        <w:pStyle w:val="NAPISp"/>
        <w:jc w:val="both"/>
      </w:pPr>
      <w:r w:rsidRPr="00A00670">
        <w:lastRenderedPageBreak/>
        <w:t xml:space="preserve">Preglednica </w:t>
      </w:r>
      <w:fldSimple w:instr=" SEQ Preglednica \* ARABIC ">
        <w:r w:rsidR="00DC0028" w:rsidRPr="00A00670">
          <w:rPr>
            <w:noProof/>
          </w:rPr>
          <w:t>2</w:t>
        </w:r>
      </w:fldSimple>
      <w:r w:rsidRPr="00A00670">
        <w:t>: Vrednost in deleži prometa po vrstah nepremičnin, Slovenija, leti 2019 in 2020</w:t>
      </w:r>
    </w:p>
    <w:tbl>
      <w:tblPr>
        <w:tblStyle w:val="Tabelamrea"/>
        <w:tblW w:w="5000" w:type="pct"/>
        <w:tblLook w:val="04A0" w:firstRow="1" w:lastRow="0" w:firstColumn="1" w:lastColumn="0" w:noHBand="0" w:noVBand="1"/>
      </w:tblPr>
      <w:tblGrid>
        <w:gridCol w:w="3482"/>
        <w:gridCol w:w="1396"/>
        <w:gridCol w:w="1396"/>
        <w:gridCol w:w="1396"/>
        <w:gridCol w:w="1392"/>
      </w:tblGrid>
      <w:tr w:rsidR="00205E29" w:rsidRPr="00A00670" w14:paraId="4E25A941" w14:textId="77777777" w:rsidTr="009F7448">
        <w:trPr>
          <w:trHeight w:val="645"/>
        </w:trPr>
        <w:tc>
          <w:tcPr>
            <w:tcW w:w="1921" w:type="pct"/>
            <w:shd w:val="clear" w:color="auto" w:fill="DEEAF6" w:themeFill="accent5" w:themeFillTint="33"/>
            <w:hideMark/>
          </w:tcPr>
          <w:p w14:paraId="388EE7F9" w14:textId="77777777" w:rsidR="00205E29" w:rsidRPr="00A00670" w:rsidRDefault="00205E29" w:rsidP="009F7448">
            <w:pPr>
              <w:jc w:val="both"/>
              <w:rPr>
                <w:rFonts w:ascii="Calibri" w:eastAsia="Times New Roman" w:hAnsi="Calibri" w:cs="Calibri"/>
                <w:b/>
                <w:bCs/>
                <w:color w:val="000000"/>
                <w:sz w:val="24"/>
                <w:szCs w:val="24"/>
                <w:lang w:eastAsia="sl-SI"/>
              </w:rPr>
            </w:pPr>
            <w:r w:rsidRPr="00A00670">
              <w:rPr>
                <w:rFonts w:ascii="Calibri" w:eastAsia="Times New Roman" w:hAnsi="Calibri" w:cs="Calibri"/>
                <w:b/>
                <w:bCs/>
                <w:color w:val="000000"/>
                <w:sz w:val="24"/>
                <w:szCs w:val="24"/>
                <w:lang w:eastAsia="sl-SI"/>
              </w:rPr>
              <w:t>Vrsta nepremičnine</w:t>
            </w:r>
          </w:p>
        </w:tc>
        <w:tc>
          <w:tcPr>
            <w:tcW w:w="770" w:type="pct"/>
            <w:shd w:val="clear" w:color="auto" w:fill="DEEAF6" w:themeFill="accent5" w:themeFillTint="33"/>
            <w:hideMark/>
          </w:tcPr>
          <w:p w14:paraId="5D661B5D" w14:textId="77777777" w:rsidR="00205E29" w:rsidRPr="00A00670" w:rsidRDefault="00205E29" w:rsidP="009F7448">
            <w:pPr>
              <w:jc w:val="center"/>
              <w:rPr>
                <w:rFonts w:ascii="Calibri" w:eastAsia="Times New Roman" w:hAnsi="Calibri" w:cs="Calibri"/>
                <w:b/>
                <w:bCs/>
                <w:color w:val="000000"/>
                <w:sz w:val="24"/>
                <w:szCs w:val="24"/>
                <w:lang w:eastAsia="sl-SI"/>
              </w:rPr>
            </w:pPr>
            <w:r w:rsidRPr="00A00670">
              <w:rPr>
                <w:rFonts w:ascii="Calibri" w:eastAsia="Times New Roman" w:hAnsi="Calibri" w:cs="Calibri"/>
                <w:b/>
                <w:bCs/>
                <w:color w:val="000000"/>
                <w:sz w:val="24"/>
                <w:szCs w:val="24"/>
                <w:lang w:eastAsia="sl-SI"/>
              </w:rPr>
              <w:t>Leto 2019 - vrednost</w:t>
            </w:r>
          </w:p>
          <w:p w14:paraId="3134ABCF" w14:textId="77777777" w:rsidR="00205E29" w:rsidRPr="00A00670" w:rsidRDefault="00205E29" w:rsidP="009F7448">
            <w:pPr>
              <w:jc w:val="center"/>
              <w:rPr>
                <w:rFonts w:ascii="Calibri" w:eastAsia="Times New Roman" w:hAnsi="Calibri" w:cs="Calibri"/>
                <w:b/>
                <w:bCs/>
                <w:color w:val="000000"/>
                <w:sz w:val="24"/>
                <w:szCs w:val="24"/>
                <w:lang w:eastAsia="sl-SI"/>
              </w:rPr>
            </w:pPr>
            <w:r w:rsidRPr="00A00670">
              <w:rPr>
                <w:rFonts w:ascii="Calibri" w:eastAsia="Times New Roman" w:hAnsi="Calibri" w:cs="Calibri"/>
                <w:b/>
                <w:bCs/>
                <w:color w:val="000000"/>
                <w:sz w:val="24"/>
                <w:szCs w:val="24"/>
                <w:lang w:eastAsia="sl-SI"/>
              </w:rPr>
              <w:t>( v mio € )</w:t>
            </w:r>
          </w:p>
        </w:tc>
        <w:tc>
          <w:tcPr>
            <w:tcW w:w="770" w:type="pct"/>
            <w:shd w:val="clear" w:color="auto" w:fill="DEEAF6" w:themeFill="accent5" w:themeFillTint="33"/>
            <w:hideMark/>
          </w:tcPr>
          <w:p w14:paraId="4CAFE2B0" w14:textId="77777777" w:rsidR="00205E29" w:rsidRPr="00A00670" w:rsidRDefault="00205E29" w:rsidP="009F7448">
            <w:pPr>
              <w:jc w:val="center"/>
              <w:rPr>
                <w:rFonts w:ascii="Calibri" w:eastAsia="Times New Roman" w:hAnsi="Calibri" w:cs="Calibri"/>
                <w:b/>
                <w:bCs/>
                <w:color w:val="000000"/>
                <w:sz w:val="24"/>
                <w:szCs w:val="24"/>
                <w:lang w:eastAsia="sl-SI"/>
              </w:rPr>
            </w:pPr>
            <w:r w:rsidRPr="00A00670">
              <w:rPr>
                <w:rFonts w:ascii="Calibri" w:eastAsia="Times New Roman" w:hAnsi="Calibri" w:cs="Calibri"/>
                <w:b/>
                <w:bCs/>
                <w:color w:val="000000"/>
                <w:sz w:val="24"/>
                <w:szCs w:val="24"/>
                <w:lang w:eastAsia="sl-SI"/>
              </w:rPr>
              <w:t>Leto 2019 - delež</w:t>
            </w:r>
          </w:p>
        </w:tc>
        <w:tc>
          <w:tcPr>
            <w:tcW w:w="770" w:type="pct"/>
            <w:shd w:val="clear" w:color="auto" w:fill="DEEAF6" w:themeFill="accent5" w:themeFillTint="33"/>
            <w:hideMark/>
          </w:tcPr>
          <w:p w14:paraId="12986683" w14:textId="77777777" w:rsidR="00205E29" w:rsidRPr="00A00670" w:rsidRDefault="00205E29" w:rsidP="009F7448">
            <w:pPr>
              <w:jc w:val="center"/>
              <w:rPr>
                <w:rFonts w:ascii="Calibri" w:eastAsia="Times New Roman" w:hAnsi="Calibri" w:cs="Calibri"/>
                <w:b/>
                <w:bCs/>
                <w:color w:val="000000"/>
                <w:sz w:val="24"/>
                <w:szCs w:val="24"/>
                <w:lang w:eastAsia="sl-SI"/>
              </w:rPr>
            </w:pPr>
            <w:r w:rsidRPr="00A00670">
              <w:rPr>
                <w:rFonts w:ascii="Calibri" w:eastAsia="Times New Roman" w:hAnsi="Calibri" w:cs="Calibri"/>
                <w:b/>
                <w:bCs/>
                <w:color w:val="000000"/>
                <w:sz w:val="24"/>
                <w:szCs w:val="24"/>
                <w:lang w:eastAsia="sl-SI"/>
              </w:rPr>
              <w:t>Leto 2020 - Vrednost</w:t>
            </w:r>
          </w:p>
          <w:p w14:paraId="7BA16AA1" w14:textId="77777777" w:rsidR="00205E29" w:rsidRPr="00A00670" w:rsidRDefault="00205E29" w:rsidP="009F7448">
            <w:pPr>
              <w:jc w:val="center"/>
              <w:rPr>
                <w:rFonts w:ascii="Calibri" w:eastAsia="Times New Roman" w:hAnsi="Calibri" w:cs="Calibri"/>
                <w:b/>
                <w:bCs/>
                <w:color w:val="000000"/>
                <w:sz w:val="24"/>
                <w:szCs w:val="24"/>
                <w:lang w:eastAsia="sl-SI"/>
              </w:rPr>
            </w:pPr>
            <w:r w:rsidRPr="00A00670">
              <w:rPr>
                <w:rFonts w:ascii="Calibri" w:eastAsia="Times New Roman" w:hAnsi="Calibri" w:cs="Calibri"/>
                <w:b/>
                <w:bCs/>
                <w:color w:val="000000"/>
                <w:sz w:val="24"/>
                <w:szCs w:val="24"/>
                <w:lang w:eastAsia="sl-SI"/>
              </w:rPr>
              <w:t>( v mio € )</w:t>
            </w:r>
          </w:p>
        </w:tc>
        <w:tc>
          <w:tcPr>
            <w:tcW w:w="768" w:type="pct"/>
            <w:shd w:val="clear" w:color="auto" w:fill="DEEAF6" w:themeFill="accent5" w:themeFillTint="33"/>
            <w:hideMark/>
          </w:tcPr>
          <w:p w14:paraId="7A84A7C8" w14:textId="77777777" w:rsidR="00205E29" w:rsidRPr="00A00670" w:rsidRDefault="00205E29" w:rsidP="009F7448">
            <w:pPr>
              <w:jc w:val="center"/>
              <w:rPr>
                <w:rFonts w:ascii="Calibri" w:eastAsia="Times New Roman" w:hAnsi="Calibri" w:cs="Calibri"/>
                <w:b/>
                <w:bCs/>
                <w:color w:val="000000"/>
                <w:sz w:val="24"/>
                <w:szCs w:val="24"/>
                <w:lang w:eastAsia="sl-SI"/>
              </w:rPr>
            </w:pPr>
            <w:r w:rsidRPr="00A00670">
              <w:rPr>
                <w:rFonts w:ascii="Calibri" w:eastAsia="Times New Roman" w:hAnsi="Calibri" w:cs="Calibri"/>
                <w:b/>
                <w:bCs/>
                <w:color w:val="000000"/>
                <w:sz w:val="24"/>
                <w:szCs w:val="24"/>
                <w:lang w:eastAsia="sl-SI"/>
              </w:rPr>
              <w:t>Leto 2020 - delež</w:t>
            </w:r>
          </w:p>
        </w:tc>
      </w:tr>
      <w:tr w:rsidR="00205E29" w:rsidRPr="00A00670" w14:paraId="3A2B16D5" w14:textId="77777777" w:rsidTr="009F7448">
        <w:trPr>
          <w:trHeight w:val="300"/>
        </w:trPr>
        <w:tc>
          <w:tcPr>
            <w:tcW w:w="1921" w:type="pct"/>
            <w:noWrap/>
            <w:hideMark/>
          </w:tcPr>
          <w:p w14:paraId="15DAF75C" w14:textId="77777777" w:rsidR="00205E29" w:rsidRPr="00A00670" w:rsidRDefault="00205E29" w:rsidP="009F7448">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Stanovanja</w:t>
            </w:r>
          </w:p>
        </w:tc>
        <w:tc>
          <w:tcPr>
            <w:tcW w:w="770" w:type="pct"/>
            <w:noWrap/>
            <w:vAlign w:val="bottom"/>
            <w:hideMark/>
          </w:tcPr>
          <w:p w14:paraId="0C50489C"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1.004</w:t>
            </w:r>
          </w:p>
        </w:tc>
        <w:tc>
          <w:tcPr>
            <w:tcW w:w="770" w:type="pct"/>
            <w:noWrap/>
            <w:vAlign w:val="bottom"/>
            <w:hideMark/>
          </w:tcPr>
          <w:p w14:paraId="7EFE4762"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36,0%</w:t>
            </w:r>
          </w:p>
        </w:tc>
        <w:tc>
          <w:tcPr>
            <w:tcW w:w="770" w:type="pct"/>
            <w:noWrap/>
            <w:vAlign w:val="bottom"/>
            <w:hideMark/>
          </w:tcPr>
          <w:p w14:paraId="7C057C13"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841</w:t>
            </w:r>
          </w:p>
        </w:tc>
        <w:tc>
          <w:tcPr>
            <w:tcW w:w="768" w:type="pct"/>
            <w:noWrap/>
            <w:vAlign w:val="bottom"/>
            <w:hideMark/>
          </w:tcPr>
          <w:p w14:paraId="7975E04E"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38,8%</w:t>
            </w:r>
          </w:p>
        </w:tc>
      </w:tr>
      <w:tr w:rsidR="00205E29" w:rsidRPr="00A00670" w14:paraId="125F159B" w14:textId="77777777" w:rsidTr="009F7448">
        <w:trPr>
          <w:trHeight w:val="300"/>
        </w:trPr>
        <w:tc>
          <w:tcPr>
            <w:tcW w:w="1921" w:type="pct"/>
            <w:noWrap/>
            <w:hideMark/>
          </w:tcPr>
          <w:p w14:paraId="2217C505" w14:textId="77777777" w:rsidR="00205E29" w:rsidRPr="00A00670" w:rsidRDefault="00205E29" w:rsidP="009F7448">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Hiše</w:t>
            </w:r>
          </w:p>
        </w:tc>
        <w:tc>
          <w:tcPr>
            <w:tcW w:w="770" w:type="pct"/>
            <w:noWrap/>
            <w:vAlign w:val="bottom"/>
            <w:hideMark/>
          </w:tcPr>
          <w:p w14:paraId="04EE09EA"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638</w:t>
            </w:r>
          </w:p>
        </w:tc>
        <w:tc>
          <w:tcPr>
            <w:tcW w:w="770" w:type="pct"/>
            <w:noWrap/>
            <w:vAlign w:val="bottom"/>
            <w:hideMark/>
          </w:tcPr>
          <w:p w14:paraId="3AFF1938"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22,9%</w:t>
            </w:r>
          </w:p>
        </w:tc>
        <w:tc>
          <w:tcPr>
            <w:tcW w:w="770" w:type="pct"/>
            <w:noWrap/>
            <w:vAlign w:val="bottom"/>
            <w:hideMark/>
          </w:tcPr>
          <w:p w14:paraId="6777508F"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593</w:t>
            </w:r>
          </w:p>
        </w:tc>
        <w:tc>
          <w:tcPr>
            <w:tcW w:w="768" w:type="pct"/>
            <w:noWrap/>
            <w:vAlign w:val="bottom"/>
            <w:hideMark/>
          </w:tcPr>
          <w:p w14:paraId="675A6845"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27,4%</w:t>
            </w:r>
          </w:p>
        </w:tc>
      </w:tr>
      <w:tr w:rsidR="00205E29" w:rsidRPr="00A00670" w14:paraId="75E9520E" w14:textId="77777777" w:rsidTr="009F7448">
        <w:trPr>
          <w:trHeight w:val="300"/>
        </w:trPr>
        <w:tc>
          <w:tcPr>
            <w:tcW w:w="1921" w:type="pct"/>
            <w:noWrap/>
            <w:hideMark/>
          </w:tcPr>
          <w:p w14:paraId="64CC9C6B" w14:textId="77777777" w:rsidR="00205E29" w:rsidRPr="00A00670" w:rsidRDefault="00205E29" w:rsidP="009F7448">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Zemljišča za gradnjo stavb</w:t>
            </w:r>
          </w:p>
        </w:tc>
        <w:tc>
          <w:tcPr>
            <w:tcW w:w="770" w:type="pct"/>
            <w:noWrap/>
            <w:vAlign w:val="bottom"/>
            <w:hideMark/>
          </w:tcPr>
          <w:p w14:paraId="1899AF28"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286</w:t>
            </w:r>
          </w:p>
        </w:tc>
        <w:tc>
          <w:tcPr>
            <w:tcW w:w="770" w:type="pct"/>
            <w:noWrap/>
            <w:vAlign w:val="bottom"/>
            <w:hideMark/>
          </w:tcPr>
          <w:p w14:paraId="5AE155CA"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10,3%</w:t>
            </w:r>
          </w:p>
        </w:tc>
        <w:tc>
          <w:tcPr>
            <w:tcW w:w="770" w:type="pct"/>
            <w:noWrap/>
            <w:vAlign w:val="bottom"/>
            <w:hideMark/>
          </w:tcPr>
          <w:p w14:paraId="11A5126F"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276</w:t>
            </w:r>
          </w:p>
        </w:tc>
        <w:tc>
          <w:tcPr>
            <w:tcW w:w="768" w:type="pct"/>
            <w:noWrap/>
            <w:vAlign w:val="bottom"/>
            <w:hideMark/>
          </w:tcPr>
          <w:p w14:paraId="04C0DCF5"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12,8%</w:t>
            </w:r>
          </w:p>
        </w:tc>
      </w:tr>
      <w:tr w:rsidR="00205E29" w:rsidRPr="00A00670" w14:paraId="609FF883" w14:textId="77777777" w:rsidTr="009F7448">
        <w:trPr>
          <w:trHeight w:val="300"/>
        </w:trPr>
        <w:tc>
          <w:tcPr>
            <w:tcW w:w="1921" w:type="pct"/>
            <w:noWrap/>
            <w:hideMark/>
          </w:tcPr>
          <w:p w14:paraId="12FDE5FD" w14:textId="77777777" w:rsidR="00205E29" w:rsidRPr="00A00670" w:rsidRDefault="00205E29" w:rsidP="009F7448">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Trgovski, storitveni in gostinski lokali</w:t>
            </w:r>
          </w:p>
        </w:tc>
        <w:tc>
          <w:tcPr>
            <w:tcW w:w="770" w:type="pct"/>
            <w:noWrap/>
            <w:vAlign w:val="bottom"/>
            <w:hideMark/>
          </w:tcPr>
          <w:p w14:paraId="316CDAFA"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448</w:t>
            </w:r>
          </w:p>
        </w:tc>
        <w:tc>
          <w:tcPr>
            <w:tcW w:w="770" w:type="pct"/>
            <w:noWrap/>
            <w:vAlign w:val="bottom"/>
            <w:hideMark/>
          </w:tcPr>
          <w:p w14:paraId="381967E9"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16,1%</w:t>
            </w:r>
          </w:p>
        </w:tc>
        <w:tc>
          <w:tcPr>
            <w:tcW w:w="770" w:type="pct"/>
            <w:noWrap/>
            <w:vAlign w:val="bottom"/>
            <w:hideMark/>
          </w:tcPr>
          <w:p w14:paraId="41B42D3C"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129</w:t>
            </w:r>
          </w:p>
        </w:tc>
        <w:tc>
          <w:tcPr>
            <w:tcW w:w="768" w:type="pct"/>
            <w:noWrap/>
            <w:vAlign w:val="bottom"/>
            <w:hideMark/>
          </w:tcPr>
          <w:p w14:paraId="38383D99"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5,9%</w:t>
            </w:r>
          </w:p>
        </w:tc>
      </w:tr>
      <w:tr w:rsidR="00205E29" w:rsidRPr="00A00670" w14:paraId="76F2A3AC" w14:textId="77777777" w:rsidTr="009F7448">
        <w:trPr>
          <w:trHeight w:val="300"/>
        </w:trPr>
        <w:tc>
          <w:tcPr>
            <w:tcW w:w="1921" w:type="pct"/>
            <w:noWrap/>
            <w:hideMark/>
          </w:tcPr>
          <w:p w14:paraId="740DA2F0" w14:textId="77777777" w:rsidR="00205E29" w:rsidRPr="00A00670" w:rsidRDefault="00205E29" w:rsidP="009F7448">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Pisarne</w:t>
            </w:r>
          </w:p>
        </w:tc>
        <w:tc>
          <w:tcPr>
            <w:tcW w:w="770" w:type="pct"/>
            <w:noWrap/>
            <w:vAlign w:val="bottom"/>
            <w:hideMark/>
          </w:tcPr>
          <w:p w14:paraId="4A30B9DD"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103</w:t>
            </w:r>
          </w:p>
        </w:tc>
        <w:tc>
          <w:tcPr>
            <w:tcW w:w="770" w:type="pct"/>
            <w:noWrap/>
            <w:vAlign w:val="bottom"/>
            <w:hideMark/>
          </w:tcPr>
          <w:p w14:paraId="4A5723AF"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3,7%</w:t>
            </w:r>
          </w:p>
        </w:tc>
        <w:tc>
          <w:tcPr>
            <w:tcW w:w="770" w:type="pct"/>
            <w:noWrap/>
            <w:vAlign w:val="bottom"/>
            <w:hideMark/>
          </w:tcPr>
          <w:p w14:paraId="0C00C698"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110</w:t>
            </w:r>
          </w:p>
        </w:tc>
        <w:tc>
          <w:tcPr>
            <w:tcW w:w="768" w:type="pct"/>
            <w:noWrap/>
            <w:vAlign w:val="bottom"/>
            <w:hideMark/>
          </w:tcPr>
          <w:p w14:paraId="14CF7CC7"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5,1%</w:t>
            </w:r>
          </w:p>
        </w:tc>
      </w:tr>
      <w:tr w:rsidR="00205E29" w:rsidRPr="00A00670" w14:paraId="064C90C6" w14:textId="77777777" w:rsidTr="009F7448">
        <w:trPr>
          <w:trHeight w:val="300"/>
        </w:trPr>
        <w:tc>
          <w:tcPr>
            <w:tcW w:w="1921" w:type="pct"/>
            <w:noWrap/>
            <w:hideMark/>
          </w:tcPr>
          <w:p w14:paraId="557E0554" w14:textId="77777777" w:rsidR="00205E29" w:rsidRPr="00A00670" w:rsidRDefault="00205E29" w:rsidP="009F7448">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Industrijske nepremičnine</w:t>
            </w:r>
          </w:p>
        </w:tc>
        <w:tc>
          <w:tcPr>
            <w:tcW w:w="770" w:type="pct"/>
            <w:noWrap/>
            <w:vAlign w:val="bottom"/>
            <w:hideMark/>
          </w:tcPr>
          <w:p w14:paraId="5E9F4D7E"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97</w:t>
            </w:r>
          </w:p>
        </w:tc>
        <w:tc>
          <w:tcPr>
            <w:tcW w:w="770" w:type="pct"/>
            <w:noWrap/>
            <w:vAlign w:val="bottom"/>
            <w:hideMark/>
          </w:tcPr>
          <w:p w14:paraId="206CBCC8"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3,5%</w:t>
            </w:r>
          </w:p>
        </w:tc>
        <w:tc>
          <w:tcPr>
            <w:tcW w:w="770" w:type="pct"/>
            <w:noWrap/>
            <w:vAlign w:val="bottom"/>
            <w:hideMark/>
          </w:tcPr>
          <w:p w14:paraId="06930E9D"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53</w:t>
            </w:r>
          </w:p>
        </w:tc>
        <w:tc>
          <w:tcPr>
            <w:tcW w:w="768" w:type="pct"/>
            <w:noWrap/>
            <w:vAlign w:val="bottom"/>
            <w:hideMark/>
          </w:tcPr>
          <w:p w14:paraId="52A45B3A"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2,5%</w:t>
            </w:r>
          </w:p>
        </w:tc>
      </w:tr>
      <w:tr w:rsidR="00205E29" w:rsidRPr="00A00670" w14:paraId="0084E43D" w14:textId="77777777" w:rsidTr="009F7448">
        <w:trPr>
          <w:trHeight w:val="300"/>
        </w:trPr>
        <w:tc>
          <w:tcPr>
            <w:tcW w:w="1921" w:type="pct"/>
            <w:noWrap/>
            <w:hideMark/>
          </w:tcPr>
          <w:p w14:paraId="425AA118" w14:textId="77777777" w:rsidR="00205E29" w:rsidRPr="00A00670" w:rsidRDefault="00205E29" w:rsidP="009F7448">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Pozidana zemljišča</w:t>
            </w:r>
          </w:p>
        </w:tc>
        <w:tc>
          <w:tcPr>
            <w:tcW w:w="770" w:type="pct"/>
            <w:noWrap/>
            <w:vAlign w:val="bottom"/>
            <w:hideMark/>
          </w:tcPr>
          <w:p w14:paraId="29E2F328"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48</w:t>
            </w:r>
          </w:p>
        </w:tc>
        <w:tc>
          <w:tcPr>
            <w:tcW w:w="770" w:type="pct"/>
            <w:noWrap/>
            <w:vAlign w:val="bottom"/>
            <w:hideMark/>
          </w:tcPr>
          <w:p w14:paraId="02970C6B"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1,7%</w:t>
            </w:r>
          </w:p>
        </w:tc>
        <w:tc>
          <w:tcPr>
            <w:tcW w:w="770" w:type="pct"/>
            <w:noWrap/>
            <w:vAlign w:val="bottom"/>
            <w:hideMark/>
          </w:tcPr>
          <w:p w14:paraId="77C411E6"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29</w:t>
            </w:r>
          </w:p>
        </w:tc>
        <w:tc>
          <w:tcPr>
            <w:tcW w:w="768" w:type="pct"/>
            <w:noWrap/>
            <w:vAlign w:val="bottom"/>
            <w:hideMark/>
          </w:tcPr>
          <w:p w14:paraId="37EFAB21"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1,4%</w:t>
            </w:r>
          </w:p>
        </w:tc>
      </w:tr>
      <w:tr w:rsidR="00205E29" w:rsidRPr="00A00670" w14:paraId="4D1F7C8F" w14:textId="77777777" w:rsidTr="009F7448">
        <w:trPr>
          <w:trHeight w:val="300"/>
        </w:trPr>
        <w:tc>
          <w:tcPr>
            <w:tcW w:w="1921" w:type="pct"/>
            <w:noWrap/>
            <w:hideMark/>
          </w:tcPr>
          <w:p w14:paraId="0534A412" w14:textId="77777777" w:rsidR="00205E29" w:rsidRPr="00A00670" w:rsidRDefault="00205E29" w:rsidP="009F7448">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Kmetijska zemljišča</w:t>
            </w:r>
          </w:p>
        </w:tc>
        <w:tc>
          <w:tcPr>
            <w:tcW w:w="770" w:type="pct"/>
            <w:noWrap/>
            <w:vAlign w:val="bottom"/>
            <w:hideMark/>
          </w:tcPr>
          <w:p w14:paraId="4F870AF3"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61</w:t>
            </w:r>
          </w:p>
        </w:tc>
        <w:tc>
          <w:tcPr>
            <w:tcW w:w="770" w:type="pct"/>
            <w:noWrap/>
            <w:vAlign w:val="bottom"/>
            <w:hideMark/>
          </w:tcPr>
          <w:p w14:paraId="0ABBEB66"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2,2%</w:t>
            </w:r>
          </w:p>
        </w:tc>
        <w:tc>
          <w:tcPr>
            <w:tcW w:w="770" w:type="pct"/>
            <w:noWrap/>
            <w:vAlign w:val="bottom"/>
            <w:hideMark/>
          </w:tcPr>
          <w:p w14:paraId="6642577B"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59</w:t>
            </w:r>
          </w:p>
        </w:tc>
        <w:tc>
          <w:tcPr>
            <w:tcW w:w="768" w:type="pct"/>
            <w:noWrap/>
            <w:vAlign w:val="bottom"/>
            <w:hideMark/>
          </w:tcPr>
          <w:p w14:paraId="1A230910"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2,7%</w:t>
            </w:r>
          </w:p>
        </w:tc>
      </w:tr>
      <w:tr w:rsidR="00205E29" w:rsidRPr="00A00670" w14:paraId="61B09BDF" w14:textId="77777777" w:rsidTr="009F7448">
        <w:trPr>
          <w:trHeight w:val="300"/>
        </w:trPr>
        <w:tc>
          <w:tcPr>
            <w:tcW w:w="1921" w:type="pct"/>
            <w:noWrap/>
            <w:hideMark/>
          </w:tcPr>
          <w:p w14:paraId="4BFA5A4E" w14:textId="77777777" w:rsidR="00205E29" w:rsidRPr="00A00670" w:rsidRDefault="00205E29" w:rsidP="009F7448">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Garaže in parkirni prostori</w:t>
            </w:r>
          </w:p>
        </w:tc>
        <w:tc>
          <w:tcPr>
            <w:tcW w:w="770" w:type="pct"/>
            <w:noWrap/>
            <w:vAlign w:val="bottom"/>
            <w:hideMark/>
          </w:tcPr>
          <w:p w14:paraId="5E6752CD"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32</w:t>
            </w:r>
          </w:p>
        </w:tc>
        <w:tc>
          <w:tcPr>
            <w:tcW w:w="770" w:type="pct"/>
            <w:noWrap/>
            <w:vAlign w:val="bottom"/>
            <w:hideMark/>
          </w:tcPr>
          <w:p w14:paraId="3CE074F7"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1,1%</w:t>
            </w:r>
          </w:p>
        </w:tc>
        <w:tc>
          <w:tcPr>
            <w:tcW w:w="770" w:type="pct"/>
            <w:noWrap/>
            <w:vAlign w:val="bottom"/>
            <w:hideMark/>
          </w:tcPr>
          <w:p w14:paraId="09F3F031"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13</w:t>
            </w:r>
          </w:p>
        </w:tc>
        <w:tc>
          <w:tcPr>
            <w:tcW w:w="768" w:type="pct"/>
            <w:noWrap/>
            <w:vAlign w:val="bottom"/>
            <w:hideMark/>
          </w:tcPr>
          <w:p w14:paraId="6E522DB6"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0,6%</w:t>
            </w:r>
          </w:p>
        </w:tc>
      </w:tr>
      <w:tr w:rsidR="00205E29" w:rsidRPr="00A00670" w14:paraId="7FCAF30D" w14:textId="77777777" w:rsidTr="009F7448">
        <w:trPr>
          <w:trHeight w:val="300"/>
        </w:trPr>
        <w:tc>
          <w:tcPr>
            <w:tcW w:w="1921" w:type="pct"/>
            <w:noWrap/>
            <w:hideMark/>
          </w:tcPr>
          <w:p w14:paraId="4F58A47C" w14:textId="77777777" w:rsidR="00205E29" w:rsidRPr="00A00670" w:rsidRDefault="00205E29" w:rsidP="009F7448">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Gozdna zemljišča</w:t>
            </w:r>
          </w:p>
        </w:tc>
        <w:tc>
          <w:tcPr>
            <w:tcW w:w="770" w:type="pct"/>
            <w:noWrap/>
            <w:vAlign w:val="bottom"/>
            <w:hideMark/>
          </w:tcPr>
          <w:p w14:paraId="16AB0729"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25</w:t>
            </w:r>
          </w:p>
        </w:tc>
        <w:tc>
          <w:tcPr>
            <w:tcW w:w="770" w:type="pct"/>
            <w:noWrap/>
            <w:vAlign w:val="bottom"/>
            <w:hideMark/>
          </w:tcPr>
          <w:p w14:paraId="3A3E68C4"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0,9%</w:t>
            </w:r>
          </w:p>
        </w:tc>
        <w:tc>
          <w:tcPr>
            <w:tcW w:w="770" w:type="pct"/>
            <w:noWrap/>
            <w:vAlign w:val="bottom"/>
            <w:hideMark/>
          </w:tcPr>
          <w:p w14:paraId="0745FBE0"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19</w:t>
            </w:r>
          </w:p>
        </w:tc>
        <w:tc>
          <w:tcPr>
            <w:tcW w:w="768" w:type="pct"/>
            <w:noWrap/>
            <w:vAlign w:val="bottom"/>
            <w:hideMark/>
          </w:tcPr>
          <w:p w14:paraId="22DC7D98"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0,9%</w:t>
            </w:r>
          </w:p>
        </w:tc>
      </w:tr>
      <w:tr w:rsidR="00205E29" w:rsidRPr="00A00670" w14:paraId="395F7B88" w14:textId="77777777" w:rsidTr="009F7448">
        <w:trPr>
          <w:trHeight w:val="300"/>
        </w:trPr>
        <w:tc>
          <w:tcPr>
            <w:tcW w:w="1921" w:type="pct"/>
            <w:noWrap/>
            <w:hideMark/>
          </w:tcPr>
          <w:p w14:paraId="27DB3AD3" w14:textId="77777777" w:rsidR="00205E29" w:rsidRPr="00A00670" w:rsidRDefault="00205E29" w:rsidP="009F7448">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Turistični objekti</w:t>
            </w:r>
          </w:p>
        </w:tc>
        <w:tc>
          <w:tcPr>
            <w:tcW w:w="770" w:type="pct"/>
            <w:noWrap/>
            <w:vAlign w:val="bottom"/>
            <w:hideMark/>
          </w:tcPr>
          <w:p w14:paraId="206C894B"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28</w:t>
            </w:r>
          </w:p>
        </w:tc>
        <w:tc>
          <w:tcPr>
            <w:tcW w:w="770" w:type="pct"/>
            <w:noWrap/>
            <w:vAlign w:val="bottom"/>
            <w:hideMark/>
          </w:tcPr>
          <w:p w14:paraId="7EDBD783"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1,0%</w:t>
            </w:r>
          </w:p>
        </w:tc>
        <w:tc>
          <w:tcPr>
            <w:tcW w:w="770" w:type="pct"/>
            <w:noWrap/>
            <w:vAlign w:val="bottom"/>
            <w:hideMark/>
          </w:tcPr>
          <w:p w14:paraId="52E7B18D"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22</w:t>
            </w:r>
          </w:p>
        </w:tc>
        <w:tc>
          <w:tcPr>
            <w:tcW w:w="768" w:type="pct"/>
            <w:noWrap/>
            <w:vAlign w:val="bottom"/>
            <w:hideMark/>
          </w:tcPr>
          <w:p w14:paraId="1D935CE5"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1,0%</w:t>
            </w:r>
          </w:p>
        </w:tc>
      </w:tr>
      <w:tr w:rsidR="00205E29" w:rsidRPr="00A00670" w14:paraId="5547CF57" w14:textId="77777777" w:rsidTr="009F7448">
        <w:trPr>
          <w:trHeight w:val="315"/>
        </w:trPr>
        <w:tc>
          <w:tcPr>
            <w:tcW w:w="1921" w:type="pct"/>
            <w:noWrap/>
            <w:hideMark/>
          </w:tcPr>
          <w:p w14:paraId="1F12EF0B" w14:textId="77777777" w:rsidR="00205E29" w:rsidRPr="00A00670" w:rsidRDefault="00205E29" w:rsidP="009F7448">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Ostale nepremičnine</w:t>
            </w:r>
          </w:p>
        </w:tc>
        <w:tc>
          <w:tcPr>
            <w:tcW w:w="770" w:type="pct"/>
            <w:noWrap/>
            <w:vAlign w:val="bottom"/>
            <w:hideMark/>
          </w:tcPr>
          <w:p w14:paraId="34693C48"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15</w:t>
            </w:r>
          </w:p>
        </w:tc>
        <w:tc>
          <w:tcPr>
            <w:tcW w:w="770" w:type="pct"/>
            <w:noWrap/>
            <w:vAlign w:val="bottom"/>
            <w:hideMark/>
          </w:tcPr>
          <w:p w14:paraId="443A7457"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0,5%</w:t>
            </w:r>
          </w:p>
        </w:tc>
        <w:tc>
          <w:tcPr>
            <w:tcW w:w="770" w:type="pct"/>
            <w:noWrap/>
            <w:vAlign w:val="bottom"/>
            <w:hideMark/>
          </w:tcPr>
          <w:p w14:paraId="118E13D0"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21</w:t>
            </w:r>
          </w:p>
        </w:tc>
        <w:tc>
          <w:tcPr>
            <w:tcW w:w="768" w:type="pct"/>
            <w:noWrap/>
            <w:vAlign w:val="bottom"/>
            <w:hideMark/>
          </w:tcPr>
          <w:p w14:paraId="129ABCC0" w14:textId="77777777" w:rsidR="00205E29" w:rsidRPr="00A00670" w:rsidRDefault="00205E29" w:rsidP="009F7448">
            <w:pPr>
              <w:jc w:val="right"/>
              <w:rPr>
                <w:rFonts w:ascii="Calibri" w:eastAsia="Times New Roman" w:hAnsi="Calibri" w:cs="Calibri"/>
                <w:color w:val="000000"/>
                <w:lang w:eastAsia="sl-SI"/>
              </w:rPr>
            </w:pPr>
            <w:r w:rsidRPr="00A00670">
              <w:rPr>
                <w:rFonts w:ascii="Calibri" w:hAnsi="Calibri" w:cs="Calibri"/>
                <w:color w:val="000000"/>
              </w:rPr>
              <w:t>1,0%</w:t>
            </w:r>
          </w:p>
        </w:tc>
      </w:tr>
    </w:tbl>
    <w:p w14:paraId="3EEA2249" w14:textId="77777777" w:rsidR="00205E29" w:rsidRPr="00A00670" w:rsidRDefault="00205E29" w:rsidP="00205E29">
      <w:pPr>
        <w:jc w:val="both"/>
      </w:pPr>
    </w:p>
    <w:p w14:paraId="373210A7" w14:textId="7AF471C8" w:rsidR="00205E29" w:rsidRPr="00A00670" w:rsidRDefault="00205E29" w:rsidP="00205E29">
      <w:pPr>
        <w:jc w:val="both"/>
      </w:pPr>
      <w:r w:rsidRPr="00A00670">
        <w:t xml:space="preserve">Deleži prometa s stanovanjskimi nepremičninami, predvsem hišami, in z zazidljivimi stavbnimi zemljišči so se leta 2020 v primerjavi z letom 2019 opazno povečali. V največji meri na račun pričakovano manjšega prometa z lokali, ki je v letu 2019, zaradi neobičajno velikega števila prodaj večjih trgovskih centrov, odločilno vplival na rekordno vrednost nepremičninskih poslov pri nas. Deloma pa tudi, ker je bil v času epidemiološke krize upad števila sklenjenih poslov za večino ostalih vrst nepremičnin večji kot za stanovanja, predvsem pa za hiše in zemljišča za gradnjo (stanovanjskih) stavb.       </w:t>
      </w:r>
    </w:p>
    <w:p w14:paraId="0EBDEC9C" w14:textId="272AE654" w:rsidR="00205E29" w:rsidRPr="00A00670" w:rsidRDefault="00205E29" w:rsidP="00205E29">
      <w:pPr>
        <w:jc w:val="both"/>
      </w:pPr>
    </w:p>
    <w:p w14:paraId="33D2ED32" w14:textId="3DE27859" w:rsidR="00205E29" w:rsidRPr="00A00670" w:rsidRDefault="00205E29" w:rsidP="00205E29">
      <w:pPr>
        <w:jc w:val="both"/>
      </w:pPr>
    </w:p>
    <w:p w14:paraId="342FB85D" w14:textId="77777777" w:rsidR="00205E29" w:rsidRPr="00A00670" w:rsidRDefault="00205E29" w:rsidP="00205E29">
      <w:pPr>
        <w:jc w:val="both"/>
      </w:pPr>
    </w:p>
    <w:p w14:paraId="03984969" w14:textId="00335A36" w:rsidR="00BF2482" w:rsidRPr="00A00670" w:rsidRDefault="00BF2482" w:rsidP="00A234D5">
      <w:pPr>
        <w:pStyle w:val="Naslov1p"/>
      </w:pPr>
      <w:r w:rsidRPr="00A00670">
        <w:t>ŠTEVILO TRANSAKCIJ S STANOVANJSKIMI IN POSLOVNIMI NEPREMIČNINAMI</w:t>
      </w:r>
    </w:p>
    <w:p w14:paraId="0444FAC5" w14:textId="77777777" w:rsidR="00BF2482" w:rsidRPr="00A00670" w:rsidRDefault="00BF2482" w:rsidP="00A234D5">
      <w:pPr>
        <w:jc w:val="both"/>
      </w:pPr>
    </w:p>
    <w:p w14:paraId="6554FED4" w14:textId="2C0F13D1" w:rsidR="00936CEE" w:rsidRPr="00A00670" w:rsidRDefault="00936CEE" w:rsidP="00A234D5">
      <w:pPr>
        <w:jc w:val="both"/>
      </w:pPr>
      <w:r w:rsidRPr="00A00670">
        <w:t xml:space="preserve">Do sredine februarja smo za leto 2020 evidentirali </w:t>
      </w:r>
      <w:r w:rsidR="002F3E6F" w:rsidRPr="00A00670">
        <w:t xml:space="preserve">približno </w:t>
      </w:r>
      <w:r w:rsidRPr="00A00670">
        <w:t>8.</w:t>
      </w:r>
      <w:r w:rsidR="002F3E6F" w:rsidRPr="00A00670">
        <w:t>7</w:t>
      </w:r>
      <w:r w:rsidRPr="00A00670">
        <w:t>00 kupoprodaj stanovanj in 5.800 kupoprodaj hiš. Glede na to, da so podatki za leto 2020 še preliminarni, ocenjujemo</w:t>
      </w:r>
      <w:r w:rsidR="000C7011" w:rsidRPr="00A00670">
        <w:t xml:space="preserve"> da je bilo število transakcij s stanovanji v primerjavi z letom 2019 </w:t>
      </w:r>
      <w:r w:rsidR="008362DE" w:rsidRPr="00A00670">
        <w:t xml:space="preserve">manjše </w:t>
      </w:r>
      <w:r w:rsidR="000C7011" w:rsidRPr="00A00670">
        <w:t xml:space="preserve">za 15 </w:t>
      </w:r>
      <w:r w:rsidR="002F3E6F" w:rsidRPr="00A00670">
        <w:t xml:space="preserve">do 20 </w:t>
      </w:r>
      <w:r w:rsidR="000C7011" w:rsidRPr="00A00670">
        <w:t>odstotkov</w:t>
      </w:r>
      <w:r w:rsidR="005E36C5" w:rsidRPr="00A00670">
        <w:t xml:space="preserve">, </w:t>
      </w:r>
      <w:r w:rsidR="00C552CC" w:rsidRPr="00A00670">
        <w:t xml:space="preserve">medtem ko je bilo </w:t>
      </w:r>
      <w:r w:rsidR="00AC257E" w:rsidRPr="00A00670">
        <w:t xml:space="preserve">število transakcij s hišami </w:t>
      </w:r>
      <w:r w:rsidR="00C552CC" w:rsidRPr="00A00670">
        <w:t xml:space="preserve">manjše </w:t>
      </w:r>
      <w:r w:rsidR="00CB5669" w:rsidRPr="00A00670">
        <w:t xml:space="preserve">le </w:t>
      </w:r>
      <w:r w:rsidR="00C552CC" w:rsidRPr="00A00670">
        <w:t xml:space="preserve">za </w:t>
      </w:r>
      <w:r w:rsidR="00AC257E" w:rsidRPr="00A00670">
        <w:t>5 do 10 odstotkov.</w:t>
      </w:r>
      <w:r w:rsidR="00C552CC" w:rsidRPr="00A00670">
        <w:t xml:space="preserve"> </w:t>
      </w:r>
      <w:r w:rsidR="00A821DA" w:rsidRPr="00A00670">
        <w:t xml:space="preserve">Število transakcij s </w:t>
      </w:r>
      <w:r w:rsidR="007F7740" w:rsidRPr="00A00670">
        <w:t xml:space="preserve">pisarnami in lokali </w:t>
      </w:r>
      <w:r w:rsidR="00A821DA" w:rsidRPr="00A00670">
        <w:t xml:space="preserve">je bilo po naši oceni </w:t>
      </w:r>
      <w:r w:rsidR="007F7740" w:rsidRPr="00A00670">
        <w:t xml:space="preserve">leta 2020 </w:t>
      </w:r>
      <w:r w:rsidR="00A821DA" w:rsidRPr="00A00670">
        <w:t xml:space="preserve">manjše za 25 do 30 odstotkov. </w:t>
      </w:r>
    </w:p>
    <w:p w14:paraId="600940E0" w14:textId="41360C97" w:rsidR="00205E29" w:rsidRPr="00A00670" w:rsidRDefault="00205E29" w:rsidP="00205E29">
      <w:pPr>
        <w:jc w:val="both"/>
      </w:pPr>
      <w:r w:rsidRPr="00A00670">
        <w:t>Manjše število transakcij s stanovanjskimi nepremičninami v letu 2020 je bilo izključno posledica omejitev pri poslovanju z nepremičninami zaradi »</w:t>
      </w:r>
      <w:proofErr w:type="spellStart"/>
      <w:r w:rsidRPr="00A00670">
        <w:t>protikoronskih</w:t>
      </w:r>
      <w:proofErr w:type="spellEnd"/>
      <w:r w:rsidRPr="00A00670">
        <w:t xml:space="preserve">« ukrepov. Če ne bi bilo epidemije, bi število realiziranih transakcij skoraj gotovo vsaj doseglo tistega iz leta 2019. Povpraševanje po stanovanjskih nepremičninah je namreč ostalo veliko, po stanovanjskih hišah, vseh vrst in starosti, in po zemljiščih za njihovo gradnjo pa se je celo povečalo. </w:t>
      </w:r>
    </w:p>
    <w:p w14:paraId="08C0EBC0" w14:textId="77777777" w:rsidR="00A821DA" w:rsidRPr="00A00670" w:rsidRDefault="00A821DA" w:rsidP="008362DE">
      <w:pPr>
        <w:pStyle w:val="Brezrazmikov"/>
      </w:pPr>
    </w:p>
    <w:p w14:paraId="3D6AA70A" w14:textId="77777777" w:rsidR="00205E29" w:rsidRPr="00A00670" w:rsidRDefault="00205E29">
      <w:pPr>
        <w:rPr>
          <w:i/>
          <w:iCs/>
          <w:sz w:val="24"/>
          <w:szCs w:val="18"/>
        </w:rPr>
      </w:pPr>
      <w:r w:rsidRPr="00A00670">
        <w:br w:type="page"/>
      </w:r>
    </w:p>
    <w:p w14:paraId="6C20EB55" w14:textId="17B50AF7" w:rsidR="00BF2482" w:rsidRPr="00A00670" w:rsidRDefault="007507CC" w:rsidP="00A234D5">
      <w:pPr>
        <w:pStyle w:val="NAPISp"/>
        <w:jc w:val="both"/>
      </w:pPr>
      <w:r w:rsidRPr="00A00670">
        <w:lastRenderedPageBreak/>
        <w:t xml:space="preserve">Preglednica </w:t>
      </w:r>
      <w:fldSimple w:instr=" SEQ Preglednica \* ARABIC ">
        <w:r w:rsidR="00DC0028" w:rsidRPr="00A00670">
          <w:rPr>
            <w:noProof/>
          </w:rPr>
          <w:t>3</w:t>
        </w:r>
      </w:fldSimple>
      <w:r w:rsidRPr="00A00670">
        <w:t xml:space="preserve">: Število evidentiranih transakcij za stanovanjske in poslovne nepremičnine, Slovenija, </w:t>
      </w:r>
      <w:r w:rsidR="00276229" w:rsidRPr="00A00670">
        <w:t xml:space="preserve">letno </w:t>
      </w:r>
      <w:r w:rsidR="00430E12" w:rsidRPr="00A00670">
        <w:t xml:space="preserve">od </w:t>
      </w:r>
      <w:r w:rsidRPr="00A00670">
        <w:t>2015</w:t>
      </w:r>
      <w:r w:rsidR="00430E12" w:rsidRPr="00A00670">
        <w:t xml:space="preserve"> do </w:t>
      </w:r>
      <w:r w:rsidRPr="00A00670">
        <w:t>2020</w:t>
      </w:r>
    </w:p>
    <w:tbl>
      <w:tblPr>
        <w:tblStyle w:val="Tabelamrea"/>
        <w:tblW w:w="8520" w:type="dxa"/>
        <w:tblLook w:val="04A0" w:firstRow="1" w:lastRow="0" w:firstColumn="1" w:lastColumn="0" w:noHBand="0" w:noVBand="1"/>
      </w:tblPr>
      <w:tblGrid>
        <w:gridCol w:w="2760"/>
        <w:gridCol w:w="960"/>
        <w:gridCol w:w="960"/>
        <w:gridCol w:w="960"/>
        <w:gridCol w:w="960"/>
        <w:gridCol w:w="960"/>
        <w:gridCol w:w="960"/>
      </w:tblGrid>
      <w:tr w:rsidR="00491160" w:rsidRPr="00A00670" w14:paraId="16EB5781" w14:textId="77777777" w:rsidTr="00491160">
        <w:trPr>
          <w:trHeight w:val="300"/>
        </w:trPr>
        <w:tc>
          <w:tcPr>
            <w:tcW w:w="2760" w:type="dxa"/>
            <w:shd w:val="clear" w:color="auto" w:fill="DEEAF6" w:themeFill="accent5" w:themeFillTint="33"/>
            <w:noWrap/>
            <w:hideMark/>
          </w:tcPr>
          <w:p w14:paraId="45F0F9C4" w14:textId="77777777" w:rsidR="00491160" w:rsidRPr="00A00670" w:rsidRDefault="00491160" w:rsidP="00A234D5">
            <w:pPr>
              <w:jc w:val="both"/>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Vrsta nepremičnine</w:t>
            </w:r>
          </w:p>
        </w:tc>
        <w:tc>
          <w:tcPr>
            <w:tcW w:w="960" w:type="dxa"/>
            <w:shd w:val="clear" w:color="auto" w:fill="DEEAF6" w:themeFill="accent5" w:themeFillTint="33"/>
            <w:noWrap/>
            <w:hideMark/>
          </w:tcPr>
          <w:p w14:paraId="48AA9E9B" w14:textId="77777777" w:rsidR="00491160" w:rsidRPr="00A00670" w:rsidRDefault="00491160" w:rsidP="00D32DF7">
            <w:pPr>
              <w:jc w:val="center"/>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2015</w:t>
            </w:r>
          </w:p>
        </w:tc>
        <w:tc>
          <w:tcPr>
            <w:tcW w:w="960" w:type="dxa"/>
            <w:shd w:val="clear" w:color="auto" w:fill="DEEAF6" w:themeFill="accent5" w:themeFillTint="33"/>
            <w:noWrap/>
            <w:hideMark/>
          </w:tcPr>
          <w:p w14:paraId="5493884F" w14:textId="77777777" w:rsidR="00491160" w:rsidRPr="00A00670" w:rsidRDefault="00491160" w:rsidP="00D32DF7">
            <w:pPr>
              <w:jc w:val="center"/>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2016</w:t>
            </w:r>
          </w:p>
        </w:tc>
        <w:tc>
          <w:tcPr>
            <w:tcW w:w="960" w:type="dxa"/>
            <w:shd w:val="clear" w:color="auto" w:fill="DEEAF6" w:themeFill="accent5" w:themeFillTint="33"/>
            <w:noWrap/>
            <w:hideMark/>
          </w:tcPr>
          <w:p w14:paraId="3AE11D09" w14:textId="77777777" w:rsidR="00491160" w:rsidRPr="00A00670" w:rsidRDefault="00491160" w:rsidP="00D32DF7">
            <w:pPr>
              <w:jc w:val="center"/>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2017</w:t>
            </w:r>
          </w:p>
        </w:tc>
        <w:tc>
          <w:tcPr>
            <w:tcW w:w="960" w:type="dxa"/>
            <w:shd w:val="clear" w:color="auto" w:fill="DEEAF6" w:themeFill="accent5" w:themeFillTint="33"/>
            <w:noWrap/>
            <w:hideMark/>
          </w:tcPr>
          <w:p w14:paraId="6923B00B" w14:textId="77777777" w:rsidR="00491160" w:rsidRPr="00A00670" w:rsidRDefault="00491160" w:rsidP="00D32DF7">
            <w:pPr>
              <w:jc w:val="center"/>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2018</w:t>
            </w:r>
          </w:p>
        </w:tc>
        <w:tc>
          <w:tcPr>
            <w:tcW w:w="960" w:type="dxa"/>
            <w:shd w:val="clear" w:color="auto" w:fill="DEEAF6" w:themeFill="accent5" w:themeFillTint="33"/>
            <w:noWrap/>
            <w:hideMark/>
          </w:tcPr>
          <w:p w14:paraId="192584AB" w14:textId="77777777" w:rsidR="00491160" w:rsidRPr="00A00670" w:rsidRDefault="00491160" w:rsidP="00D32DF7">
            <w:pPr>
              <w:jc w:val="center"/>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2019</w:t>
            </w:r>
          </w:p>
        </w:tc>
        <w:tc>
          <w:tcPr>
            <w:tcW w:w="960" w:type="dxa"/>
            <w:shd w:val="clear" w:color="auto" w:fill="DEEAF6" w:themeFill="accent5" w:themeFillTint="33"/>
            <w:noWrap/>
            <w:hideMark/>
          </w:tcPr>
          <w:p w14:paraId="4F5F5276" w14:textId="77777777" w:rsidR="00491160" w:rsidRPr="00A00670" w:rsidRDefault="00491160" w:rsidP="00D32DF7">
            <w:pPr>
              <w:jc w:val="center"/>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2020</w:t>
            </w:r>
          </w:p>
        </w:tc>
      </w:tr>
      <w:tr w:rsidR="002F3E6F" w:rsidRPr="00A00670" w14:paraId="28F8F352" w14:textId="77777777" w:rsidTr="002F3E6F">
        <w:trPr>
          <w:trHeight w:val="300"/>
        </w:trPr>
        <w:tc>
          <w:tcPr>
            <w:tcW w:w="2760" w:type="dxa"/>
            <w:noWrap/>
            <w:hideMark/>
          </w:tcPr>
          <w:p w14:paraId="5D88B326" w14:textId="77777777" w:rsidR="002F3E6F" w:rsidRPr="00A00670" w:rsidRDefault="002F3E6F" w:rsidP="002F3E6F">
            <w:pPr>
              <w:jc w:val="both"/>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Stanovanjske skupaj</w:t>
            </w:r>
          </w:p>
        </w:tc>
        <w:tc>
          <w:tcPr>
            <w:tcW w:w="960" w:type="dxa"/>
            <w:noWrap/>
            <w:vAlign w:val="center"/>
            <w:hideMark/>
          </w:tcPr>
          <w:p w14:paraId="604D96FD" w14:textId="082220D4" w:rsidR="002F3E6F" w:rsidRPr="00A00670" w:rsidRDefault="002F3E6F" w:rsidP="002F3E6F">
            <w:pPr>
              <w:jc w:val="right"/>
              <w:rPr>
                <w:rFonts w:ascii="Calibri" w:eastAsia="Times New Roman" w:hAnsi="Calibri" w:cs="Calibri"/>
                <w:b/>
                <w:bCs/>
                <w:color w:val="000000"/>
                <w:lang w:eastAsia="sl-SI"/>
              </w:rPr>
            </w:pPr>
            <w:r w:rsidRPr="00A00670">
              <w:rPr>
                <w:rFonts w:ascii="Calibri" w:hAnsi="Calibri" w:cs="Calibri"/>
                <w:b/>
                <w:bCs/>
                <w:color w:val="000000"/>
              </w:rPr>
              <w:t>14.352</w:t>
            </w:r>
          </w:p>
        </w:tc>
        <w:tc>
          <w:tcPr>
            <w:tcW w:w="960" w:type="dxa"/>
            <w:noWrap/>
            <w:vAlign w:val="center"/>
            <w:hideMark/>
          </w:tcPr>
          <w:p w14:paraId="1BA64E1D" w14:textId="0AD290CF" w:rsidR="002F3E6F" w:rsidRPr="00A00670" w:rsidRDefault="002F3E6F" w:rsidP="002F3E6F">
            <w:pPr>
              <w:jc w:val="right"/>
              <w:rPr>
                <w:rFonts w:ascii="Calibri" w:eastAsia="Times New Roman" w:hAnsi="Calibri" w:cs="Calibri"/>
                <w:b/>
                <w:bCs/>
                <w:color w:val="000000"/>
                <w:lang w:eastAsia="sl-SI"/>
              </w:rPr>
            </w:pPr>
            <w:r w:rsidRPr="00A00670">
              <w:rPr>
                <w:rFonts w:ascii="Calibri" w:hAnsi="Calibri" w:cs="Calibri"/>
                <w:b/>
                <w:bCs/>
                <w:color w:val="000000"/>
              </w:rPr>
              <w:t>16.476</w:t>
            </w:r>
          </w:p>
        </w:tc>
        <w:tc>
          <w:tcPr>
            <w:tcW w:w="960" w:type="dxa"/>
            <w:noWrap/>
            <w:vAlign w:val="center"/>
            <w:hideMark/>
          </w:tcPr>
          <w:p w14:paraId="560F7F15" w14:textId="5A2CAFD4" w:rsidR="002F3E6F" w:rsidRPr="00A00670" w:rsidRDefault="002F3E6F" w:rsidP="002F3E6F">
            <w:pPr>
              <w:jc w:val="right"/>
              <w:rPr>
                <w:rFonts w:ascii="Calibri" w:eastAsia="Times New Roman" w:hAnsi="Calibri" w:cs="Calibri"/>
                <w:b/>
                <w:bCs/>
                <w:color w:val="000000"/>
                <w:lang w:eastAsia="sl-SI"/>
              </w:rPr>
            </w:pPr>
            <w:r w:rsidRPr="00A00670">
              <w:rPr>
                <w:rFonts w:ascii="Calibri" w:hAnsi="Calibri" w:cs="Calibri"/>
                <w:b/>
                <w:bCs/>
                <w:color w:val="000000"/>
              </w:rPr>
              <w:t>17.913</w:t>
            </w:r>
          </w:p>
        </w:tc>
        <w:tc>
          <w:tcPr>
            <w:tcW w:w="960" w:type="dxa"/>
            <w:noWrap/>
            <w:vAlign w:val="center"/>
            <w:hideMark/>
          </w:tcPr>
          <w:p w14:paraId="2B8B2C96" w14:textId="79470060" w:rsidR="002F3E6F" w:rsidRPr="00A00670" w:rsidRDefault="002F3E6F" w:rsidP="002F3E6F">
            <w:pPr>
              <w:jc w:val="right"/>
              <w:rPr>
                <w:rFonts w:ascii="Calibri" w:eastAsia="Times New Roman" w:hAnsi="Calibri" w:cs="Calibri"/>
                <w:b/>
                <w:bCs/>
                <w:color w:val="000000"/>
                <w:lang w:eastAsia="sl-SI"/>
              </w:rPr>
            </w:pPr>
            <w:r w:rsidRPr="00A00670">
              <w:rPr>
                <w:rFonts w:ascii="Calibri" w:hAnsi="Calibri" w:cs="Calibri"/>
                <w:b/>
                <w:bCs/>
                <w:color w:val="000000"/>
              </w:rPr>
              <w:t>17.106</w:t>
            </w:r>
          </w:p>
        </w:tc>
        <w:tc>
          <w:tcPr>
            <w:tcW w:w="960" w:type="dxa"/>
            <w:noWrap/>
            <w:vAlign w:val="center"/>
            <w:hideMark/>
          </w:tcPr>
          <w:p w14:paraId="153A35CF" w14:textId="29D837FA" w:rsidR="002F3E6F" w:rsidRPr="00A00670" w:rsidRDefault="002F3E6F" w:rsidP="002F3E6F">
            <w:pPr>
              <w:jc w:val="right"/>
              <w:rPr>
                <w:rFonts w:ascii="Calibri" w:eastAsia="Times New Roman" w:hAnsi="Calibri" w:cs="Calibri"/>
                <w:b/>
                <w:bCs/>
                <w:color w:val="000000"/>
                <w:lang w:eastAsia="sl-SI"/>
              </w:rPr>
            </w:pPr>
            <w:r w:rsidRPr="00A00670">
              <w:rPr>
                <w:rFonts w:ascii="Calibri" w:hAnsi="Calibri" w:cs="Calibri"/>
                <w:b/>
                <w:bCs/>
                <w:color w:val="000000"/>
              </w:rPr>
              <w:t>17.524</w:t>
            </w:r>
          </w:p>
        </w:tc>
        <w:tc>
          <w:tcPr>
            <w:tcW w:w="960" w:type="dxa"/>
            <w:noWrap/>
            <w:vAlign w:val="center"/>
            <w:hideMark/>
          </w:tcPr>
          <w:p w14:paraId="752F0C54" w14:textId="77CE0E05" w:rsidR="002F3E6F" w:rsidRPr="00A00670" w:rsidRDefault="002F3E6F" w:rsidP="002F3E6F">
            <w:pPr>
              <w:jc w:val="right"/>
              <w:rPr>
                <w:rFonts w:ascii="Calibri" w:eastAsia="Times New Roman" w:hAnsi="Calibri" w:cs="Calibri"/>
                <w:b/>
                <w:bCs/>
                <w:color w:val="000000"/>
                <w:lang w:eastAsia="sl-SI"/>
              </w:rPr>
            </w:pPr>
            <w:r w:rsidRPr="00A00670">
              <w:rPr>
                <w:rFonts w:ascii="Calibri" w:hAnsi="Calibri" w:cs="Calibri"/>
                <w:b/>
                <w:bCs/>
                <w:color w:val="000000"/>
              </w:rPr>
              <w:t>14.500</w:t>
            </w:r>
          </w:p>
        </w:tc>
      </w:tr>
      <w:tr w:rsidR="002F3E6F" w:rsidRPr="00A00670" w14:paraId="0EC5C281" w14:textId="77777777" w:rsidTr="002F3E6F">
        <w:trPr>
          <w:trHeight w:val="300"/>
        </w:trPr>
        <w:tc>
          <w:tcPr>
            <w:tcW w:w="2760" w:type="dxa"/>
            <w:noWrap/>
            <w:hideMark/>
          </w:tcPr>
          <w:p w14:paraId="719B4D8E" w14:textId="77777777" w:rsidR="002F3E6F" w:rsidRPr="00A00670" w:rsidRDefault="002F3E6F" w:rsidP="002F3E6F">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Stanovanja</w:t>
            </w:r>
          </w:p>
        </w:tc>
        <w:tc>
          <w:tcPr>
            <w:tcW w:w="960" w:type="dxa"/>
            <w:noWrap/>
            <w:vAlign w:val="center"/>
            <w:hideMark/>
          </w:tcPr>
          <w:p w14:paraId="6DFB2656" w14:textId="1E299E4A"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9.752</w:t>
            </w:r>
          </w:p>
        </w:tc>
        <w:tc>
          <w:tcPr>
            <w:tcW w:w="960" w:type="dxa"/>
            <w:noWrap/>
            <w:vAlign w:val="center"/>
            <w:hideMark/>
          </w:tcPr>
          <w:p w14:paraId="56FAA4DB" w14:textId="4915FCAA"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11.022</w:t>
            </w:r>
          </w:p>
        </w:tc>
        <w:tc>
          <w:tcPr>
            <w:tcW w:w="960" w:type="dxa"/>
            <w:noWrap/>
            <w:vAlign w:val="center"/>
            <w:hideMark/>
          </w:tcPr>
          <w:p w14:paraId="689349E3" w14:textId="4C208631"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11.648</w:t>
            </w:r>
          </w:p>
        </w:tc>
        <w:tc>
          <w:tcPr>
            <w:tcW w:w="960" w:type="dxa"/>
            <w:noWrap/>
            <w:vAlign w:val="center"/>
            <w:hideMark/>
          </w:tcPr>
          <w:p w14:paraId="75866B9E" w14:textId="3160FD76"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10.939</w:t>
            </w:r>
          </w:p>
        </w:tc>
        <w:tc>
          <w:tcPr>
            <w:tcW w:w="960" w:type="dxa"/>
            <w:noWrap/>
            <w:vAlign w:val="center"/>
            <w:hideMark/>
          </w:tcPr>
          <w:p w14:paraId="40DB8AA7" w14:textId="1E1A588D"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11.058</w:t>
            </w:r>
          </w:p>
        </w:tc>
        <w:tc>
          <w:tcPr>
            <w:tcW w:w="960" w:type="dxa"/>
            <w:noWrap/>
            <w:vAlign w:val="center"/>
            <w:hideMark/>
          </w:tcPr>
          <w:p w14:paraId="4163050E" w14:textId="3D84932D"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8.663</w:t>
            </w:r>
          </w:p>
        </w:tc>
      </w:tr>
      <w:tr w:rsidR="002F3E6F" w:rsidRPr="00A00670" w14:paraId="05815036" w14:textId="77777777" w:rsidTr="002F3E6F">
        <w:trPr>
          <w:trHeight w:val="300"/>
        </w:trPr>
        <w:tc>
          <w:tcPr>
            <w:tcW w:w="2760" w:type="dxa"/>
            <w:noWrap/>
            <w:hideMark/>
          </w:tcPr>
          <w:p w14:paraId="53C38F3A" w14:textId="77777777" w:rsidR="002F3E6F" w:rsidRPr="00A00670" w:rsidRDefault="002F3E6F" w:rsidP="002F3E6F">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Hiše</w:t>
            </w:r>
          </w:p>
        </w:tc>
        <w:tc>
          <w:tcPr>
            <w:tcW w:w="960" w:type="dxa"/>
            <w:noWrap/>
            <w:vAlign w:val="center"/>
            <w:hideMark/>
          </w:tcPr>
          <w:p w14:paraId="105A7F09" w14:textId="35691A36"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4.600</w:t>
            </w:r>
          </w:p>
        </w:tc>
        <w:tc>
          <w:tcPr>
            <w:tcW w:w="960" w:type="dxa"/>
            <w:noWrap/>
            <w:vAlign w:val="center"/>
            <w:hideMark/>
          </w:tcPr>
          <w:p w14:paraId="7AC84360" w14:textId="7BD28A30"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5.454</w:t>
            </w:r>
          </w:p>
        </w:tc>
        <w:tc>
          <w:tcPr>
            <w:tcW w:w="960" w:type="dxa"/>
            <w:noWrap/>
            <w:vAlign w:val="center"/>
            <w:hideMark/>
          </w:tcPr>
          <w:p w14:paraId="6FCDA22C" w14:textId="10057FEA"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6.265</w:t>
            </w:r>
          </w:p>
        </w:tc>
        <w:tc>
          <w:tcPr>
            <w:tcW w:w="960" w:type="dxa"/>
            <w:noWrap/>
            <w:vAlign w:val="center"/>
            <w:hideMark/>
          </w:tcPr>
          <w:p w14:paraId="3ED36C31" w14:textId="75D37B28"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6.167</w:t>
            </w:r>
          </w:p>
        </w:tc>
        <w:tc>
          <w:tcPr>
            <w:tcW w:w="960" w:type="dxa"/>
            <w:noWrap/>
            <w:vAlign w:val="center"/>
            <w:hideMark/>
          </w:tcPr>
          <w:p w14:paraId="4FEA7788" w14:textId="2BA3C239"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6.466</w:t>
            </w:r>
          </w:p>
        </w:tc>
        <w:tc>
          <w:tcPr>
            <w:tcW w:w="960" w:type="dxa"/>
            <w:noWrap/>
            <w:vAlign w:val="center"/>
            <w:hideMark/>
          </w:tcPr>
          <w:p w14:paraId="70F86D2D" w14:textId="02B83EA3"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5.837</w:t>
            </w:r>
          </w:p>
        </w:tc>
      </w:tr>
      <w:tr w:rsidR="002F3E6F" w:rsidRPr="00A00670" w14:paraId="7896FF49" w14:textId="77777777" w:rsidTr="002F3E6F">
        <w:trPr>
          <w:trHeight w:val="300"/>
        </w:trPr>
        <w:tc>
          <w:tcPr>
            <w:tcW w:w="2760" w:type="dxa"/>
            <w:noWrap/>
            <w:hideMark/>
          </w:tcPr>
          <w:p w14:paraId="4CEEDAA5" w14:textId="77777777" w:rsidR="002F3E6F" w:rsidRPr="00A00670" w:rsidRDefault="002F3E6F" w:rsidP="002F3E6F">
            <w:pPr>
              <w:jc w:val="both"/>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Poslovne skupaj</w:t>
            </w:r>
          </w:p>
        </w:tc>
        <w:tc>
          <w:tcPr>
            <w:tcW w:w="960" w:type="dxa"/>
            <w:noWrap/>
            <w:vAlign w:val="center"/>
            <w:hideMark/>
          </w:tcPr>
          <w:p w14:paraId="0246BA2C" w14:textId="62A21F31" w:rsidR="002F3E6F" w:rsidRPr="00A00670" w:rsidRDefault="002F3E6F" w:rsidP="002F3E6F">
            <w:pPr>
              <w:jc w:val="right"/>
              <w:rPr>
                <w:rFonts w:ascii="Calibri" w:eastAsia="Times New Roman" w:hAnsi="Calibri" w:cs="Calibri"/>
                <w:b/>
                <w:bCs/>
                <w:color w:val="000000"/>
                <w:lang w:eastAsia="sl-SI"/>
              </w:rPr>
            </w:pPr>
            <w:r w:rsidRPr="00A00670">
              <w:rPr>
                <w:rFonts w:ascii="Calibri" w:hAnsi="Calibri" w:cs="Calibri"/>
                <w:b/>
                <w:bCs/>
                <w:color w:val="000000"/>
              </w:rPr>
              <w:t>2.156</w:t>
            </w:r>
          </w:p>
        </w:tc>
        <w:tc>
          <w:tcPr>
            <w:tcW w:w="960" w:type="dxa"/>
            <w:noWrap/>
            <w:vAlign w:val="center"/>
            <w:hideMark/>
          </w:tcPr>
          <w:p w14:paraId="6E60CF5F" w14:textId="370225D1" w:rsidR="002F3E6F" w:rsidRPr="00A00670" w:rsidRDefault="002F3E6F" w:rsidP="002F3E6F">
            <w:pPr>
              <w:jc w:val="right"/>
              <w:rPr>
                <w:rFonts w:ascii="Calibri" w:eastAsia="Times New Roman" w:hAnsi="Calibri" w:cs="Calibri"/>
                <w:b/>
                <w:bCs/>
                <w:color w:val="000000"/>
                <w:lang w:eastAsia="sl-SI"/>
              </w:rPr>
            </w:pPr>
            <w:r w:rsidRPr="00A00670">
              <w:rPr>
                <w:rFonts w:ascii="Calibri" w:hAnsi="Calibri" w:cs="Calibri"/>
                <w:b/>
                <w:bCs/>
                <w:color w:val="000000"/>
              </w:rPr>
              <w:t>2.060</w:t>
            </w:r>
          </w:p>
        </w:tc>
        <w:tc>
          <w:tcPr>
            <w:tcW w:w="960" w:type="dxa"/>
            <w:noWrap/>
            <w:vAlign w:val="center"/>
            <w:hideMark/>
          </w:tcPr>
          <w:p w14:paraId="130061DC" w14:textId="670885D3" w:rsidR="002F3E6F" w:rsidRPr="00A00670" w:rsidRDefault="002F3E6F" w:rsidP="002F3E6F">
            <w:pPr>
              <w:jc w:val="right"/>
              <w:rPr>
                <w:rFonts w:ascii="Calibri" w:eastAsia="Times New Roman" w:hAnsi="Calibri" w:cs="Calibri"/>
                <w:b/>
                <w:bCs/>
                <w:color w:val="000000"/>
                <w:lang w:eastAsia="sl-SI"/>
              </w:rPr>
            </w:pPr>
            <w:r w:rsidRPr="00A00670">
              <w:rPr>
                <w:rFonts w:ascii="Calibri" w:hAnsi="Calibri" w:cs="Calibri"/>
                <w:b/>
                <w:bCs/>
                <w:color w:val="000000"/>
              </w:rPr>
              <w:t>2.453</w:t>
            </w:r>
          </w:p>
        </w:tc>
        <w:tc>
          <w:tcPr>
            <w:tcW w:w="960" w:type="dxa"/>
            <w:noWrap/>
            <w:vAlign w:val="center"/>
            <w:hideMark/>
          </w:tcPr>
          <w:p w14:paraId="10B6E029" w14:textId="00884679" w:rsidR="002F3E6F" w:rsidRPr="00A00670" w:rsidRDefault="002F3E6F" w:rsidP="002F3E6F">
            <w:pPr>
              <w:jc w:val="right"/>
              <w:rPr>
                <w:rFonts w:ascii="Calibri" w:eastAsia="Times New Roman" w:hAnsi="Calibri" w:cs="Calibri"/>
                <w:b/>
                <w:bCs/>
                <w:color w:val="000000"/>
                <w:lang w:eastAsia="sl-SI"/>
              </w:rPr>
            </w:pPr>
            <w:r w:rsidRPr="00A00670">
              <w:rPr>
                <w:rFonts w:ascii="Calibri" w:hAnsi="Calibri" w:cs="Calibri"/>
                <w:b/>
                <w:bCs/>
                <w:color w:val="000000"/>
              </w:rPr>
              <w:t>2.377</w:t>
            </w:r>
          </w:p>
        </w:tc>
        <w:tc>
          <w:tcPr>
            <w:tcW w:w="960" w:type="dxa"/>
            <w:noWrap/>
            <w:vAlign w:val="center"/>
            <w:hideMark/>
          </w:tcPr>
          <w:p w14:paraId="52C230F4" w14:textId="49EF273F" w:rsidR="002F3E6F" w:rsidRPr="00A00670" w:rsidRDefault="002F3E6F" w:rsidP="002F3E6F">
            <w:pPr>
              <w:jc w:val="right"/>
              <w:rPr>
                <w:rFonts w:ascii="Calibri" w:eastAsia="Times New Roman" w:hAnsi="Calibri" w:cs="Calibri"/>
                <w:b/>
                <w:bCs/>
                <w:color w:val="000000"/>
                <w:lang w:eastAsia="sl-SI"/>
              </w:rPr>
            </w:pPr>
            <w:r w:rsidRPr="00A00670">
              <w:rPr>
                <w:rFonts w:ascii="Calibri" w:hAnsi="Calibri" w:cs="Calibri"/>
                <w:b/>
                <w:bCs/>
                <w:color w:val="000000"/>
              </w:rPr>
              <w:t>2.397</w:t>
            </w:r>
          </w:p>
        </w:tc>
        <w:tc>
          <w:tcPr>
            <w:tcW w:w="960" w:type="dxa"/>
            <w:noWrap/>
            <w:vAlign w:val="center"/>
            <w:hideMark/>
          </w:tcPr>
          <w:p w14:paraId="7EDCD2FC" w14:textId="77CC96C2" w:rsidR="002F3E6F" w:rsidRPr="00A00670" w:rsidRDefault="002F3E6F" w:rsidP="002F3E6F">
            <w:pPr>
              <w:jc w:val="right"/>
              <w:rPr>
                <w:rFonts w:ascii="Calibri" w:eastAsia="Times New Roman" w:hAnsi="Calibri" w:cs="Calibri"/>
                <w:b/>
                <w:bCs/>
                <w:color w:val="000000"/>
                <w:lang w:eastAsia="sl-SI"/>
              </w:rPr>
            </w:pPr>
            <w:r w:rsidRPr="00A00670">
              <w:rPr>
                <w:rFonts w:ascii="Calibri" w:hAnsi="Calibri" w:cs="Calibri"/>
                <w:b/>
                <w:bCs/>
                <w:color w:val="000000"/>
              </w:rPr>
              <w:t>1.651</w:t>
            </w:r>
          </w:p>
        </w:tc>
      </w:tr>
      <w:tr w:rsidR="002F3E6F" w:rsidRPr="00A00670" w14:paraId="738F5C32" w14:textId="77777777" w:rsidTr="002F3E6F">
        <w:trPr>
          <w:trHeight w:val="300"/>
        </w:trPr>
        <w:tc>
          <w:tcPr>
            <w:tcW w:w="2760" w:type="dxa"/>
            <w:noWrap/>
            <w:hideMark/>
          </w:tcPr>
          <w:p w14:paraId="53CC8988" w14:textId="77777777" w:rsidR="002F3E6F" w:rsidRPr="00A00670" w:rsidRDefault="002F3E6F" w:rsidP="002F3E6F">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Pisarne</w:t>
            </w:r>
          </w:p>
        </w:tc>
        <w:tc>
          <w:tcPr>
            <w:tcW w:w="960" w:type="dxa"/>
            <w:noWrap/>
            <w:vAlign w:val="center"/>
            <w:hideMark/>
          </w:tcPr>
          <w:p w14:paraId="68C5038A" w14:textId="38FA5D4F"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1.427</w:t>
            </w:r>
          </w:p>
        </w:tc>
        <w:tc>
          <w:tcPr>
            <w:tcW w:w="960" w:type="dxa"/>
            <w:noWrap/>
            <w:vAlign w:val="center"/>
            <w:hideMark/>
          </w:tcPr>
          <w:p w14:paraId="6925BCDE" w14:textId="11A98980"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1.403</w:t>
            </w:r>
          </w:p>
        </w:tc>
        <w:tc>
          <w:tcPr>
            <w:tcW w:w="960" w:type="dxa"/>
            <w:noWrap/>
            <w:vAlign w:val="center"/>
            <w:hideMark/>
          </w:tcPr>
          <w:p w14:paraId="67CB7487" w14:textId="71770A97"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1.626</w:t>
            </w:r>
          </w:p>
        </w:tc>
        <w:tc>
          <w:tcPr>
            <w:tcW w:w="960" w:type="dxa"/>
            <w:noWrap/>
            <w:vAlign w:val="center"/>
            <w:hideMark/>
          </w:tcPr>
          <w:p w14:paraId="03423DC2" w14:textId="305AA137"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1.620</w:t>
            </w:r>
          </w:p>
        </w:tc>
        <w:tc>
          <w:tcPr>
            <w:tcW w:w="960" w:type="dxa"/>
            <w:noWrap/>
            <w:vAlign w:val="center"/>
            <w:hideMark/>
          </w:tcPr>
          <w:p w14:paraId="1F47DF5F" w14:textId="0EA7779B"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1.453</w:t>
            </w:r>
          </w:p>
        </w:tc>
        <w:tc>
          <w:tcPr>
            <w:tcW w:w="960" w:type="dxa"/>
            <w:noWrap/>
            <w:vAlign w:val="center"/>
            <w:hideMark/>
          </w:tcPr>
          <w:p w14:paraId="2350F337" w14:textId="3D105269"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1008</w:t>
            </w:r>
          </w:p>
        </w:tc>
      </w:tr>
      <w:tr w:rsidR="002F3E6F" w:rsidRPr="00A00670" w14:paraId="1E99EBBA" w14:textId="77777777" w:rsidTr="002F3E6F">
        <w:trPr>
          <w:trHeight w:val="300"/>
        </w:trPr>
        <w:tc>
          <w:tcPr>
            <w:tcW w:w="2760" w:type="dxa"/>
            <w:noWrap/>
            <w:hideMark/>
          </w:tcPr>
          <w:p w14:paraId="5DD0D47C" w14:textId="77777777" w:rsidR="002F3E6F" w:rsidRPr="00A00670" w:rsidRDefault="002F3E6F" w:rsidP="002F3E6F">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Lokali</w:t>
            </w:r>
          </w:p>
        </w:tc>
        <w:tc>
          <w:tcPr>
            <w:tcW w:w="960" w:type="dxa"/>
            <w:noWrap/>
            <w:vAlign w:val="center"/>
            <w:hideMark/>
          </w:tcPr>
          <w:p w14:paraId="2F748FA9" w14:textId="6026CB8B"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729</w:t>
            </w:r>
          </w:p>
        </w:tc>
        <w:tc>
          <w:tcPr>
            <w:tcW w:w="960" w:type="dxa"/>
            <w:noWrap/>
            <w:vAlign w:val="center"/>
            <w:hideMark/>
          </w:tcPr>
          <w:p w14:paraId="25B80E7A" w14:textId="1024AF65"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657</w:t>
            </w:r>
          </w:p>
        </w:tc>
        <w:tc>
          <w:tcPr>
            <w:tcW w:w="960" w:type="dxa"/>
            <w:noWrap/>
            <w:vAlign w:val="center"/>
            <w:hideMark/>
          </w:tcPr>
          <w:p w14:paraId="21102E1F" w14:textId="6C9D7E21"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827</w:t>
            </w:r>
          </w:p>
        </w:tc>
        <w:tc>
          <w:tcPr>
            <w:tcW w:w="960" w:type="dxa"/>
            <w:noWrap/>
            <w:vAlign w:val="center"/>
            <w:hideMark/>
          </w:tcPr>
          <w:p w14:paraId="04C61FE6" w14:textId="2A05039E"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757</w:t>
            </w:r>
          </w:p>
        </w:tc>
        <w:tc>
          <w:tcPr>
            <w:tcW w:w="960" w:type="dxa"/>
            <w:noWrap/>
            <w:vAlign w:val="center"/>
            <w:hideMark/>
          </w:tcPr>
          <w:p w14:paraId="3FC27CB7" w14:textId="50EA6313"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944</w:t>
            </w:r>
          </w:p>
        </w:tc>
        <w:tc>
          <w:tcPr>
            <w:tcW w:w="960" w:type="dxa"/>
            <w:noWrap/>
            <w:vAlign w:val="center"/>
            <w:hideMark/>
          </w:tcPr>
          <w:p w14:paraId="2337613B" w14:textId="346D6F70" w:rsidR="002F3E6F" w:rsidRPr="00A00670" w:rsidRDefault="002F3E6F" w:rsidP="002F3E6F">
            <w:pPr>
              <w:jc w:val="right"/>
              <w:rPr>
                <w:rFonts w:ascii="Calibri" w:eastAsia="Times New Roman" w:hAnsi="Calibri" w:cs="Calibri"/>
                <w:color w:val="000000"/>
                <w:lang w:eastAsia="sl-SI"/>
              </w:rPr>
            </w:pPr>
            <w:r w:rsidRPr="00A00670">
              <w:rPr>
                <w:rFonts w:ascii="Calibri" w:hAnsi="Calibri" w:cs="Calibri"/>
                <w:color w:val="000000"/>
              </w:rPr>
              <w:t>643</w:t>
            </w:r>
          </w:p>
        </w:tc>
      </w:tr>
    </w:tbl>
    <w:p w14:paraId="11F50980" w14:textId="77777777" w:rsidR="00B54C04" w:rsidRPr="00A00670" w:rsidRDefault="00B54C04" w:rsidP="00A234D5">
      <w:pPr>
        <w:pStyle w:val="janopombe"/>
        <w:ind w:left="284" w:hanging="284"/>
        <w:jc w:val="both"/>
        <w:rPr>
          <w:sz w:val="20"/>
          <w:szCs w:val="20"/>
        </w:rPr>
      </w:pPr>
      <w:r w:rsidRPr="00A00670">
        <w:rPr>
          <w:sz w:val="20"/>
          <w:szCs w:val="20"/>
        </w:rPr>
        <w:t>Opomb</w:t>
      </w:r>
      <w:r w:rsidR="00C820CC" w:rsidRPr="00A00670">
        <w:rPr>
          <w:sz w:val="20"/>
          <w:szCs w:val="20"/>
        </w:rPr>
        <w:t>a</w:t>
      </w:r>
      <w:r w:rsidRPr="00A00670">
        <w:rPr>
          <w:sz w:val="20"/>
          <w:szCs w:val="20"/>
        </w:rPr>
        <w:t xml:space="preserve">: </w:t>
      </w:r>
    </w:p>
    <w:p w14:paraId="007A3F8E" w14:textId="72515B99" w:rsidR="00B54C04" w:rsidRPr="00A00670" w:rsidRDefault="00795B3A" w:rsidP="00A234D5">
      <w:pPr>
        <w:pStyle w:val="janopombe"/>
        <w:numPr>
          <w:ilvl w:val="0"/>
          <w:numId w:val="1"/>
        </w:numPr>
        <w:ind w:left="284" w:hanging="284"/>
        <w:jc w:val="both"/>
        <w:rPr>
          <w:sz w:val="20"/>
          <w:szCs w:val="20"/>
        </w:rPr>
      </w:pPr>
      <w:r w:rsidRPr="00A00670">
        <w:rPr>
          <w:sz w:val="20"/>
          <w:szCs w:val="20"/>
        </w:rPr>
        <w:t>k</w:t>
      </w:r>
      <w:r w:rsidR="00B54C04" w:rsidRPr="00A00670">
        <w:rPr>
          <w:sz w:val="20"/>
          <w:szCs w:val="20"/>
        </w:rPr>
        <w:t>ot stanovanja so šteta stanovanja v večstanovanjskih stavbah,</w:t>
      </w:r>
    </w:p>
    <w:p w14:paraId="6CE4EC12" w14:textId="77777777" w:rsidR="00B54C04" w:rsidRPr="00A00670" w:rsidRDefault="00B54C04" w:rsidP="00A234D5">
      <w:pPr>
        <w:pStyle w:val="janopombe"/>
        <w:numPr>
          <w:ilvl w:val="0"/>
          <w:numId w:val="1"/>
        </w:numPr>
        <w:ind w:left="284" w:hanging="284"/>
        <w:jc w:val="both"/>
        <w:rPr>
          <w:sz w:val="20"/>
          <w:szCs w:val="20"/>
        </w:rPr>
      </w:pPr>
      <w:r w:rsidRPr="00A00670">
        <w:rPr>
          <w:sz w:val="20"/>
          <w:szCs w:val="20"/>
        </w:rPr>
        <w:t>kot hiše so štete samostojne in vrstne hiše ter dvojčki, s pripadajočim zemljiščem,</w:t>
      </w:r>
    </w:p>
    <w:p w14:paraId="2541654E" w14:textId="77777777" w:rsidR="00B54C04" w:rsidRPr="00A00670" w:rsidRDefault="00B54C04" w:rsidP="00A234D5">
      <w:pPr>
        <w:pStyle w:val="janopombe"/>
        <w:numPr>
          <w:ilvl w:val="0"/>
          <w:numId w:val="1"/>
        </w:numPr>
        <w:ind w:left="284" w:hanging="284"/>
        <w:jc w:val="both"/>
        <w:rPr>
          <w:sz w:val="20"/>
          <w:szCs w:val="20"/>
        </w:rPr>
      </w:pPr>
      <w:r w:rsidRPr="00A00670">
        <w:rPr>
          <w:sz w:val="20"/>
          <w:szCs w:val="20"/>
        </w:rPr>
        <w:t xml:space="preserve">kot </w:t>
      </w:r>
      <w:r w:rsidR="00491160" w:rsidRPr="00A00670">
        <w:rPr>
          <w:sz w:val="20"/>
          <w:szCs w:val="20"/>
        </w:rPr>
        <w:t>pisarne so šteti pisarniški prostori, prostori za poslovanje s strankami in zdravniške ordinacije,</w:t>
      </w:r>
    </w:p>
    <w:p w14:paraId="58D81C9A" w14:textId="77777777" w:rsidR="00B54C04" w:rsidRPr="00A00670" w:rsidRDefault="00B54C04" w:rsidP="00A234D5">
      <w:pPr>
        <w:pStyle w:val="janopombe"/>
        <w:numPr>
          <w:ilvl w:val="0"/>
          <w:numId w:val="1"/>
        </w:numPr>
        <w:ind w:left="284" w:hanging="284"/>
        <w:jc w:val="both"/>
        <w:rPr>
          <w:sz w:val="20"/>
          <w:szCs w:val="20"/>
        </w:rPr>
      </w:pPr>
      <w:r w:rsidRPr="00A00670">
        <w:rPr>
          <w:sz w:val="20"/>
          <w:szCs w:val="20"/>
        </w:rPr>
        <w:t xml:space="preserve">kot </w:t>
      </w:r>
      <w:r w:rsidR="00491160" w:rsidRPr="00A00670">
        <w:rPr>
          <w:sz w:val="20"/>
          <w:szCs w:val="20"/>
        </w:rPr>
        <w:t>lokali so šteti trgovski, storitveni in gostinski lokali</w:t>
      </w:r>
      <w:r w:rsidRPr="00A00670">
        <w:rPr>
          <w:sz w:val="20"/>
          <w:szCs w:val="20"/>
        </w:rPr>
        <w:t>.</w:t>
      </w:r>
    </w:p>
    <w:p w14:paraId="75CE33C8" w14:textId="77777777" w:rsidR="007507CC" w:rsidRPr="00A00670" w:rsidRDefault="007507CC" w:rsidP="00A50B57"/>
    <w:p w14:paraId="2118B8D4" w14:textId="0FABBDF2" w:rsidR="003D5DD1" w:rsidRPr="00A00670" w:rsidRDefault="0010112D" w:rsidP="00A234D5">
      <w:pPr>
        <w:jc w:val="both"/>
      </w:pPr>
      <w:r w:rsidRPr="00A00670">
        <w:t>P</w:t>
      </w:r>
      <w:r w:rsidR="005B0A51" w:rsidRPr="00A00670">
        <w:t xml:space="preserve">ovpraševanje po </w:t>
      </w:r>
      <w:r w:rsidRPr="00A00670">
        <w:t xml:space="preserve">stanovanjskih nepremičninah je lani še vedno močno presegalo ponudbo, predvsem </w:t>
      </w:r>
      <w:r w:rsidR="006B4E4E" w:rsidRPr="00A00670">
        <w:t xml:space="preserve">kar se tiče </w:t>
      </w:r>
      <w:r w:rsidR="005B0A51" w:rsidRPr="00A00670">
        <w:t xml:space="preserve">novih stanovanjskih enot v največjih mestih. Zaradi </w:t>
      </w:r>
      <w:r w:rsidRPr="00A00670">
        <w:t xml:space="preserve">majhne ponudbe in visokih cen pa </w:t>
      </w:r>
      <w:r w:rsidR="005B0A51" w:rsidRPr="00A00670">
        <w:t xml:space="preserve">se je število realiziranih transakcij s stanovanjskimi nepremičninami na primarnem trgu zmanjšalo še bistveno bolj kot na sekundarnem trgu. </w:t>
      </w:r>
      <w:r w:rsidR="00506514" w:rsidRPr="00A00670">
        <w:t>Z</w:t>
      </w:r>
      <w:r w:rsidRPr="00A00670">
        <w:t>manjševanje</w:t>
      </w:r>
      <w:r w:rsidR="00506514" w:rsidRPr="00A00670">
        <w:t xml:space="preserve"> deleža prodaj novih stanovanjskih enot, ki smo mu priča že vse od </w:t>
      </w:r>
      <w:r w:rsidR="006B4E4E" w:rsidRPr="00A00670">
        <w:t xml:space="preserve">leta 2015 oziroma </w:t>
      </w:r>
      <w:r w:rsidR="00506514" w:rsidRPr="00A00670">
        <w:t>od</w:t>
      </w:r>
      <w:r w:rsidR="006B4E4E" w:rsidRPr="00A00670">
        <w:t xml:space="preserve"> </w:t>
      </w:r>
      <w:r w:rsidR="00506514" w:rsidRPr="00A00670">
        <w:t xml:space="preserve">prodaje zalog stanovanj iz </w:t>
      </w:r>
      <w:r w:rsidR="00120BA5" w:rsidRPr="00A00670">
        <w:t xml:space="preserve">leta 2008 </w:t>
      </w:r>
      <w:r w:rsidR="00506514" w:rsidRPr="00A00670">
        <w:t xml:space="preserve">nasedlih projektov, se je tako nadaljevalo tudi lani. </w:t>
      </w:r>
      <w:r w:rsidR="005B0A51" w:rsidRPr="00A00670">
        <w:t>Delež prodaj</w:t>
      </w:r>
      <w:r w:rsidR="00506514" w:rsidRPr="00A00670">
        <w:t>e</w:t>
      </w:r>
      <w:r w:rsidR="005B0A51" w:rsidRPr="00A00670">
        <w:t xml:space="preserve"> novih stanovanj</w:t>
      </w:r>
      <w:r w:rsidR="00506514" w:rsidRPr="00A00670">
        <w:t xml:space="preserve"> v večstanovanjskih stavbah se je s skoraj </w:t>
      </w:r>
      <w:r w:rsidR="00D13E3B" w:rsidRPr="00A00670">
        <w:t>8-ih</w:t>
      </w:r>
      <w:r w:rsidR="00506514" w:rsidRPr="00A00670">
        <w:t xml:space="preserve"> odstotkov leta 2019 zmanjšal na </w:t>
      </w:r>
      <w:r w:rsidR="00D13E3B" w:rsidRPr="00A00670">
        <w:t xml:space="preserve">dobrih </w:t>
      </w:r>
      <w:r w:rsidR="00506514" w:rsidRPr="00A00670">
        <w:t>5 odstotkov.</w:t>
      </w:r>
      <w:r w:rsidRPr="00A00670">
        <w:t xml:space="preserve"> Leta 2015 je </w:t>
      </w:r>
      <w:r w:rsidR="008362DE" w:rsidRPr="00A00670">
        <w:t xml:space="preserve">na primer </w:t>
      </w:r>
      <w:r w:rsidRPr="00A00670">
        <w:t xml:space="preserve">znašal </w:t>
      </w:r>
      <w:r w:rsidR="00D13E3B" w:rsidRPr="00A00670">
        <w:t>več kot</w:t>
      </w:r>
      <w:r w:rsidRPr="00A00670">
        <w:t xml:space="preserve"> 11 odstotkov.</w:t>
      </w:r>
    </w:p>
    <w:p w14:paraId="4C775AC2" w14:textId="7A233442" w:rsidR="007948DC" w:rsidRPr="00A00670" w:rsidRDefault="007948DC" w:rsidP="00A234D5">
      <w:pPr>
        <w:jc w:val="both"/>
      </w:pPr>
      <w:r w:rsidRPr="00A00670">
        <w:t>Manjše število transakc</w:t>
      </w:r>
      <w:r w:rsidR="00120BA5" w:rsidRPr="00A00670">
        <w:t xml:space="preserve">ij s poslovnimi nepremičninami </w:t>
      </w:r>
      <w:r w:rsidRPr="00A00670">
        <w:t>let</w:t>
      </w:r>
      <w:r w:rsidR="00120BA5" w:rsidRPr="00A00670">
        <w:t>a</w:t>
      </w:r>
      <w:r w:rsidRPr="00A00670">
        <w:t xml:space="preserve"> 2020, za razliko od manjšega števila transakcij s stanovanjskimi nepremičninami, ni bilo le </w:t>
      </w:r>
      <w:r w:rsidR="008362DE" w:rsidRPr="00A00670">
        <w:t xml:space="preserve">neposredna </w:t>
      </w:r>
      <w:r w:rsidRPr="00A00670">
        <w:t xml:space="preserve">posledica </w:t>
      </w:r>
      <w:r w:rsidR="002C1747" w:rsidRPr="00A00670">
        <w:t xml:space="preserve">državnih </w:t>
      </w:r>
      <w:r w:rsidRPr="00A00670">
        <w:t>ukrepov</w:t>
      </w:r>
      <w:r w:rsidR="002C1747" w:rsidRPr="00A00670">
        <w:t xml:space="preserve"> za zajezitev epidemije</w:t>
      </w:r>
      <w:r w:rsidRPr="00A00670">
        <w:t xml:space="preserve">, temveč tudi posledica zmanjšanega povpraševanja, ki ga je </w:t>
      </w:r>
      <w:r w:rsidR="00120BA5" w:rsidRPr="00A00670">
        <w:t xml:space="preserve">na trgu poslovnih nepremičnin </w:t>
      </w:r>
      <w:r w:rsidRPr="00A00670">
        <w:t>povzročila negotovost poslovnih subjektov glede gospodarskih posledic epidemiološke krize.</w:t>
      </w:r>
    </w:p>
    <w:p w14:paraId="19E1A8BC" w14:textId="77777777" w:rsidR="007948DC" w:rsidRPr="00A00670" w:rsidRDefault="007948DC" w:rsidP="008362DE">
      <w:pPr>
        <w:pStyle w:val="Brezrazmikov"/>
      </w:pPr>
    </w:p>
    <w:p w14:paraId="0112E920" w14:textId="6A4C65B5" w:rsidR="00276229" w:rsidRPr="00A00670" w:rsidRDefault="00430E12" w:rsidP="00A234D5">
      <w:pPr>
        <w:pStyle w:val="NAPISp"/>
        <w:jc w:val="both"/>
      </w:pPr>
      <w:r w:rsidRPr="00A00670">
        <w:t xml:space="preserve">Slika </w:t>
      </w:r>
      <w:fldSimple w:instr=" SEQ Slika \* ARABIC ">
        <w:r w:rsidR="00DC0028" w:rsidRPr="00A00670">
          <w:rPr>
            <w:noProof/>
          </w:rPr>
          <w:t>3</w:t>
        </w:r>
      </w:fldSimple>
      <w:r w:rsidRPr="00A00670">
        <w:t>: Število evidentiranih transakcij za stanovanjske in poslovne nepremičnine, Slovenija, letno od 2015 do 2020</w:t>
      </w:r>
    </w:p>
    <w:p w14:paraId="37FB518E" w14:textId="62DD502B" w:rsidR="00A50B57" w:rsidRPr="00A00670" w:rsidRDefault="00A50B57" w:rsidP="00A234D5">
      <w:pPr>
        <w:pStyle w:val="NAPISp"/>
        <w:jc w:val="both"/>
      </w:pPr>
      <w:r w:rsidRPr="00A00670">
        <w:rPr>
          <w:noProof/>
          <w:lang w:eastAsia="sl-SI"/>
        </w:rPr>
        <w:drawing>
          <wp:inline distT="0" distB="0" distL="0" distR="0" wp14:anchorId="5F5977EE" wp14:editId="572DA708">
            <wp:extent cx="5706774" cy="2552700"/>
            <wp:effectExtent l="0" t="0" r="8255" b="0"/>
            <wp:docPr id="4" name="Slika 4" descr="Grafični prikaz gibanja števila evidentiranih transakcij s stanovanji, hišami, pisarnami in lokali, po letih od 2015 do 2020, na osnovi podatkov iz preglednic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afični prikaz gibanja števila evidentiranih transakcij s stanovanji, hišami, pisarnami in lokali, po letih od 2015 do 2020, na osnovi podatkov iz preglednice 3."/>
                    <pic:cNvPicPr/>
                  </pic:nvPicPr>
                  <pic:blipFill>
                    <a:blip r:embed="rId10"/>
                    <a:stretch>
                      <a:fillRect/>
                    </a:stretch>
                  </pic:blipFill>
                  <pic:spPr>
                    <a:xfrm>
                      <a:off x="0" y="0"/>
                      <a:ext cx="5787077" cy="2588621"/>
                    </a:xfrm>
                    <a:prstGeom prst="rect">
                      <a:avLst/>
                    </a:prstGeom>
                  </pic:spPr>
                </pic:pic>
              </a:graphicData>
            </a:graphic>
          </wp:inline>
        </w:drawing>
      </w:r>
    </w:p>
    <w:p w14:paraId="74EBFC62" w14:textId="5548E9AD" w:rsidR="00242AF5" w:rsidRPr="00A00670" w:rsidRDefault="003D1077" w:rsidP="00A234D5">
      <w:pPr>
        <w:jc w:val="both"/>
      </w:pPr>
      <w:r w:rsidRPr="00A00670">
        <w:lastRenderedPageBreak/>
        <w:t xml:space="preserve">Iz prikaza mesečnega števila realiziranih transakcij za zadnji dve leti </w:t>
      </w:r>
      <w:r w:rsidR="001B2BA3" w:rsidRPr="00A00670">
        <w:t>(</w:t>
      </w:r>
      <w:r w:rsidR="008362DE" w:rsidRPr="00A00670">
        <w:t>S</w:t>
      </w:r>
      <w:r w:rsidR="001B2BA3" w:rsidRPr="00A00670">
        <w:t xml:space="preserve">lika 4) </w:t>
      </w:r>
      <w:r w:rsidRPr="00A00670">
        <w:t>je dobro razviden izrazit padec števila transakcij s stanovanjskimi nepremičninami</w:t>
      </w:r>
      <w:r w:rsidR="004A2119" w:rsidRPr="00A00670">
        <w:t xml:space="preserve"> po spomladanski razglasitvi epidemije</w:t>
      </w:r>
      <w:r w:rsidR="00242AF5" w:rsidRPr="00A00670">
        <w:t>.</w:t>
      </w:r>
    </w:p>
    <w:p w14:paraId="1C3E3639" w14:textId="02D922B6" w:rsidR="005F0886" w:rsidRPr="00A00670" w:rsidRDefault="00557652" w:rsidP="00A234D5">
      <w:pPr>
        <w:jc w:val="both"/>
      </w:pPr>
      <w:r w:rsidRPr="00A00670">
        <w:t>Po marčevski zaustavitvi javnega življenja</w:t>
      </w:r>
      <w:r w:rsidR="008362DE" w:rsidRPr="00A00670">
        <w:t>,</w:t>
      </w:r>
      <w:r w:rsidRPr="00A00670">
        <w:t xml:space="preserve"> </w:t>
      </w:r>
      <w:r w:rsidR="006D08D1" w:rsidRPr="00A00670">
        <w:t xml:space="preserve">in seveda tudi normalnega poslovanja z nepremičninami, </w:t>
      </w:r>
      <w:r w:rsidRPr="00A00670">
        <w:t>je bi</w:t>
      </w:r>
      <w:r w:rsidR="006D08D1" w:rsidRPr="00A00670">
        <w:t>lo</w:t>
      </w:r>
      <w:r w:rsidRPr="00A00670">
        <w:t xml:space="preserve"> </w:t>
      </w:r>
      <w:r w:rsidR="00120BA5" w:rsidRPr="00A00670">
        <w:t xml:space="preserve">lanskega </w:t>
      </w:r>
      <w:r w:rsidRPr="00A00670">
        <w:t xml:space="preserve">aprila število </w:t>
      </w:r>
      <w:r w:rsidR="005F0886" w:rsidRPr="00A00670">
        <w:t xml:space="preserve">evidentiranih transakcij s stanovanji in hišami za dve tretjini manjše kot aprila </w:t>
      </w:r>
      <w:r w:rsidR="006D08D1" w:rsidRPr="00A00670">
        <w:t>leto prej.</w:t>
      </w:r>
      <w:r w:rsidR="005F0886" w:rsidRPr="00A00670">
        <w:t xml:space="preserve"> </w:t>
      </w:r>
      <w:r w:rsidR="00DD0328" w:rsidRPr="00A00670">
        <w:t>Po preklicu epidemije se je število transakcij hitro vrnilo na raven pred epidemijo</w:t>
      </w:r>
      <w:r w:rsidR="00AE49DE" w:rsidRPr="00A00670">
        <w:t xml:space="preserve">. Predvsem se je povečalo število transakcij s stanovanjskimi hišami. Po naših ocenah je bilo njihovo število junija </w:t>
      </w:r>
      <w:r w:rsidR="004A2119" w:rsidRPr="00A00670">
        <w:t xml:space="preserve">2020 </w:t>
      </w:r>
      <w:r w:rsidR="006D08D1" w:rsidRPr="00A00670">
        <w:t xml:space="preserve">že </w:t>
      </w:r>
      <w:r w:rsidR="00AE49DE" w:rsidRPr="00A00670">
        <w:t xml:space="preserve">za skoraj 10 odstotkov večje kot junija 2019, </w:t>
      </w:r>
      <w:r w:rsidR="005D3E29" w:rsidRPr="00A00670">
        <w:t xml:space="preserve">nato pa je bilo </w:t>
      </w:r>
      <w:r w:rsidR="00AE49DE" w:rsidRPr="00A00670">
        <w:t xml:space="preserve">od julija do avgusta </w:t>
      </w:r>
      <w:r w:rsidR="004A2119" w:rsidRPr="00A00670">
        <w:t xml:space="preserve">2020 </w:t>
      </w:r>
      <w:r w:rsidR="00AE49DE" w:rsidRPr="00A00670">
        <w:t xml:space="preserve">za okoli 15 odstotkov </w:t>
      </w:r>
      <w:r w:rsidR="00120BA5" w:rsidRPr="00A00670">
        <w:t xml:space="preserve">večje </w:t>
      </w:r>
      <w:r w:rsidR="00AE49DE" w:rsidRPr="00A00670">
        <w:t xml:space="preserve">kot v enakem obdobju leta 2019. Število transakcij </w:t>
      </w:r>
      <w:r w:rsidR="00726920" w:rsidRPr="00A00670">
        <w:t xml:space="preserve">s stanovanji v večstanovanjskih stavbah je bilo v </w:t>
      </w:r>
      <w:r w:rsidR="00F7194A" w:rsidRPr="00A00670">
        <w:t xml:space="preserve">tem obdobju v </w:t>
      </w:r>
      <w:r w:rsidR="00726920" w:rsidRPr="00A00670">
        <w:t xml:space="preserve">primerjavi z letom 2019 nekoliko večje </w:t>
      </w:r>
      <w:r w:rsidR="0004645C" w:rsidRPr="00A00670">
        <w:t>le avgusta.</w:t>
      </w:r>
      <w:r w:rsidR="00AE49DE" w:rsidRPr="00A00670">
        <w:t xml:space="preserve"> </w:t>
      </w:r>
    </w:p>
    <w:p w14:paraId="19B2F942" w14:textId="06594D6A" w:rsidR="00A7013A" w:rsidRPr="00A00670" w:rsidRDefault="00A7013A" w:rsidP="00A234D5">
      <w:pPr>
        <w:jc w:val="both"/>
      </w:pPr>
      <w:r w:rsidRPr="00A00670">
        <w:t xml:space="preserve">Po jesenski razglasitvi drugega vala epidemije je bil padec števila transakcij </w:t>
      </w:r>
      <w:r w:rsidR="00726920" w:rsidRPr="00A00670">
        <w:t>s stanovanjskimi nepremičnin</w:t>
      </w:r>
      <w:r w:rsidR="00557652" w:rsidRPr="00A00670">
        <w:t>ami</w:t>
      </w:r>
      <w:r w:rsidR="00726920" w:rsidRPr="00A00670">
        <w:t xml:space="preserve"> </w:t>
      </w:r>
      <w:r w:rsidR="009848A7" w:rsidRPr="00A00670">
        <w:t>manj izrazit</w:t>
      </w:r>
      <w:r w:rsidR="0004645C" w:rsidRPr="00A00670">
        <w:t xml:space="preserve"> oziroma počasnejši</w:t>
      </w:r>
      <w:r w:rsidR="006D08D1" w:rsidRPr="00A00670">
        <w:t xml:space="preserve"> kot spomladi. Še posebno, če upoštevamo, da </w:t>
      </w:r>
      <w:r w:rsidR="00242AF5" w:rsidRPr="00A00670">
        <w:t xml:space="preserve">vseh transakcij </w:t>
      </w:r>
      <w:r w:rsidRPr="00A00670">
        <w:t xml:space="preserve">za zadnje </w:t>
      </w:r>
      <w:r w:rsidR="00242AF5" w:rsidRPr="00A00670">
        <w:t>četrtletje</w:t>
      </w:r>
      <w:r w:rsidRPr="00A00670">
        <w:t xml:space="preserve"> </w:t>
      </w:r>
      <w:r w:rsidR="00242AF5" w:rsidRPr="00A00670">
        <w:t xml:space="preserve">še nismo evidentirali. </w:t>
      </w:r>
      <w:r w:rsidR="00726920" w:rsidRPr="00A00670">
        <w:t>Po začasnih pod</w:t>
      </w:r>
      <w:r w:rsidR="0004645C" w:rsidRPr="00A00670">
        <w:t xml:space="preserve">atkih je bilo decembra 2020 število transakcij s stanovanji v primerjavi z decembrom 2019 manjše za </w:t>
      </w:r>
      <w:r w:rsidR="00AA1D81" w:rsidRPr="00A00670">
        <w:t xml:space="preserve">okoli 35 </w:t>
      </w:r>
      <w:r w:rsidR="0004645C" w:rsidRPr="00A00670">
        <w:t xml:space="preserve">odstotkov, s hišami pa za </w:t>
      </w:r>
      <w:r w:rsidR="00AA1D81" w:rsidRPr="00A00670">
        <w:t>okoli 20 odstotkov.</w:t>
      </w:r>
      <w:r w:rsidR="0004645C" w:rsidRPr="00A00670">
        <w:t xml:space="preserve"> </w:t>
      </w:r>
      <w:r w:rsidR="00F7194A" w:rsidRPr="00A00670">
        <w:t>P</w:t>
      </w:r>
      <w:r w:rsidR="0004645C" w:rsidRPr="00A00670">
        <w:t xml:space="preserve">o vsej </w:t>
      </w:r>
      <w:r w:rsidR="004A2119" w:rsidRPr="00A00670">
        <w:t xml:space="preserve">verjetnosti </w:t>
      </w:r>
      <w:r w:rsidR="00F7194A" w:rsidRPr="00A00670">
        <w:t xml:space="preserve">se je </w:t>
      </w:r>
      <w:r w:rsidR="00AA1D81" w:rsidRPr="00A00670">
        <w:t xml:space="preserve">upadanje števila sklenjenih </w:t>
      </w:r>
      <w:r w:rsidR="0004645C" w:rsidRPr="00A00670">
        <w:t xml:space="preserve">transakcij </w:t>
      </w:r>
      <w:r w:rsidR="006D08D1" w:rsidRPr="00A00670">
        <w:t xml:space="preserve">s stanovanjskimi nepremičninami </w:t>
      </w:r>
      <w:r w:rsidR="00AA1D81" w:rsidRPr="00A00670">
        <w:t xml:space="preserve">nadaljevalo tudi v novem letu, vsaj </w:t>
      </w:r>
      <w:r w:rsidR="0004645C" w:rsidRPr="00A00670">
        <w:t>do sprostitve oprav</w:t>
      </w:r>
      <w:r w:rsidR="004A2119" w:rsidRPr="00A00670">
        <w:t>ljanja nepremičninskih ogledov februarja</w:t>
      </w:r>
      <w:r w:rsidR="00FB1A1A" w:rsidRPr="00A00670">
        <w:t>.</w:t>
      </w:r>
    </w:p>
    <w:p w14:paraId="283A9984" w14:textId="77777777" w:rsidR="00205E29" w:rsidRPr="00A00670" w:rsidRDefault="00205E29" w:rsidP="00FB1A1A">
      <w:pPr>
        <w:pStyle w:val="Brezrazmikov"/>
      </w:pPr>
    </w:p>
    <w:p w14:paraId="649B9E5A" w14:textId="2E68B924" w:rsidR="008010CD" w:rsidRPr="00A00670" w:rsidRDefault="008010CD" w:rsidP="00205E29">
      <w:r w:rsidRPr="00A00670">
        <w:t xml:space="preserve">Slika </w:t>
      </w:r>
      <w:fldSimple w:instr=" SEQ Slika \* ARABIC ">
        <w:r w:rsidR="00DC0028" w:rsidRPr="00A00670">
          <w:rPr>
            <w:noProof/>
          </w:rPr>
          <w:t>4</w:t>
        </w:r>
      </w:fldSimple>
      <w:r w:rsidRPr="00A00670">
        <w:t>: Število evidentiranih transakcij za stanovanjske in poslovne nepremičnine, Slovenija, mesečno od januarja 2019 do decembra 2020</w:t>
      </w:r>
    </w:p>
    <w:p w14:paraId="199E138E" w14:textId="3BF4A01B" w:rsidR="00A50B57" w:rsidRPr="00A00670" w:rsidRDefault="00A50B57" w:rsidP="00A234D5">
      <w:pPr>
        <w:pStyle w:val="NAPISp"/>
        <w:jc w:val="both"/>
      </w:pPr>
      <w:r w:rsidRPr="00A00670">
        <w:rPr>
          <w:noProof/>
          <w:lang w:eastAsia="sl-SI"/>
        </w:rPr>
        <w:drawing>
          <wp:inline distT="0" distB="0" distL="0" distR="0" wp14:anchorId="32AF098C" wp14:editId="45AE8626">
            <wp:extent cx="5724029" cy="1981200"/>
            <wp:effectExtent l="0" t="0" r="0" b="0"/>
            <wp:docPr id="5" name="Slika 5" descr="Grafični prikaz gibanja števila evidentiranih transakcij s stanovanji, hišami, pisarnami in lokali, po mesecih od januarja 2019 do decembra 2020, ki je povzet v spremnem besedi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Grafični prikaz gibanja števila evidentiranih transakcij s stanovanji, hišami, pisarnami in lokali, po mesecih od januarja 2019 do decembra 2020, ki je povzet v spremnem besedilu."/>
                    <pic:cNvPicPr/>
                  </pic:nvPicPr>
                  <pic:blipFill>
                    <a:blip r:embed="rId11"/>
                    <a:stretch>
                      <a:fillRect/>
                    </a:stretch>
                  </pic:blipFill>
                  <pic:spPr>
                    <a:xfrm>
                      <a:off x="0" y="0"/>
                      <a:ext cx="5773769" cy="1998416"/>
                    </a:xfrm>
                    <a:prstGeom prst="rect">
                      <a:avLst/>
                    </a:prstGeom>
                  </pic:spPr>
                </pic:pic>
              </a:graphicData>
            </a:graphic>
          </wp:inline>
        </w:drawing>
      </w:r>
    </w:p>
    <w:p w14:paraId="7E5502AC" w14:textId="74FC17A0" w:rsidR="00430E12" w:rsidRPr="00A00670" w:rsidRDefault="00430E12" w:rsidP="00A50B57"/>
    <w:p w14:paraId="51C78F3D" w14:textId="454B08B1" w:rsidR="00927F93" w:rsidRPr="00A00670" w:rsidRDefault="00886DC5" w:rsidP="00A234D5">
      <w:pPr>
        <w:jc w:val="both"/>
      </w:pPr>
      <w:r w:rsidRPr="00A00670">
        <w:t>Padec števila transakcij s poslovnimi nepremičninami je bil po spomladanski razglasitvi epidemije še izrazitejši kot za stanovanjske nepremičnine. Aprila 2020 je bilo število evidentiranih transakcij s pisarnami in lokali za okoli 70 odstotk</w:t>
      </w:r>
      <w:r w:rsidR="0094254D" w:rsidRPr="00A00670">
        <w:t>ov manjše kot aprila 2019. Š</w:t>
      </w:r>
      <w:r w:rsidRPr="00A00670">
        <w:t xml:space="preserve">tevilo transakcij s poslovnimi nepremičninami je po preklicu epidemije </w:t>
      </w:r>
      <w:r w:rsidR="00983094" w:rsidRPr="00A00670">
        <w:t>skokovito</w:t>
      </w:r>
      <w:r w:rsidRPr="00A00670">
        <w:t xml:space="preserve"> zraslo, a </w:t>
      </w:r>
      <w:r w:rsidR="0094254D" w:rsidRPr="00A00670">
        <w:t xml:space="preserve">se </w:t>
      </w:r>
      <w:r w:rsidRPr="00A00670">
        <w:t xml:space="preserve">vse do konca leta </w:t>
      </w:r>
      <w:r w:rsidR="0094254D" w:rsidRPr="00A00670">
        <w:t xml:space="preserve">ni vrnilo na raven pred epidemijo. </w:t>
      </w:r>
      <w:r w:rsidR="005C6AB5" w:rsidRPr="00A00670">
        <w:t>Glede na</w:t>
      </w:r>
      <w:r w:rsidR="00FB1A1A" w:rsidRPr="00A00670">
        <w:t>,</w:t>
      </w:r>
      <w:r w:rsidR="005C6AB5" w:rsidRPr="00A00670">
        <w:t xml:space="preserve"> </w:t>
      </w:r>
      <w:r w:rsidR="00FA6249" w:rsidRPr="00A00670">
        <w:t xml:space="preserve">sicer </w:t>
      </w:r>
      <w:r w:rsidR="005C6AB5" w:rsidRPr="00A00670">
        <w:t>običajna mesečna nihanjih števila realiziranih tr</w:t>
      </w:r>
      <w:r w:rsidR="00FA6249" w:rsidRPr="00A00670">
        <w:t>ansakcij s pisarnami in lokali</w:t>
      </w:r>
      <w:r w:rsidR="00FB1A1A" w:rsidRPr="00A00670">
        <w:t>,</w:t>
      </w:r>
      <w:r w:rsidR="00FA6249" w:rsidRPr="00A00670">
        <w:t xml:space="preserve"> </w:t>
      </w:r>
      <w:r w:rsidR="005C6AB5" w:rsidRPr="00A00670">
        <w:t xml:space="preserve">je </w:t>
      </w:r>
      <w:r w:rsidR="00FA6249" w:rsidRPr="00A00670">
        <w:t xml:space="preserve">tudi </w:t>
      </w:r>
      <w:r w:rsidR="005C6AB5" w:rsidRPr="00A00670">
        <w:t>težko reči ali</w:t>
      </w:r>
      <w:r w:rsidR="00FA6249" w:rsidRPr="00A00670">
        <w:t xml:space="preserve"> </w:t>
      </w:r>
      <w:r w:rsidR="005C6AB5" w:rsidRPr="00A00670">
        <w:t>in koliko je na promet s poslovnimi nepremičninami vplivala ponovna</w:t>
      </w:r>
      <w:r w:rsidR="00050574" w:rsidRPr="00A00670">
        <w:t>,</w:t>
      </w:r>
      <w:r w:rsidR="005C6AB5" w:rsidRPr="00A00670">
        <w:t xml:space="preserve"> jesenska razglasit</w:t>
      </w:r>
      <w:r w:rsidR="00BB5E01" w:rsidRPr="00A00670">
        <w:t>e</w:t>
      </w:r>
      <w:r w:rsidR="005C6AB5" w:rsidRPr="00A00670">
        <w:t>v epidemije.</w:t>
      </w:r>
    </w:p>
    <w:p w14:paraId="239B0006" w14:textId="77777777" w:rsidR="00500FF3" w:rsidRPr="00A00670" w:rsidRDefault="00500FF3" w:rsidP="00FD3867">
      <w:pPr>
        <w:pStyle w:val="Brezrazmikov"/>
      </w:pPr>
    </w:p>
    <w:p w14:paraId="13CAD1C4" w14:textId="77777777" w:rsidR="00205E29" w:rsidRPr="00A00670" w:rsidRDefault="00205E29">
      <w:pPr>
        <w:rPr>
          <w:rFonts w:asciiTheme="majorHAnsi" w:eastAsiaTheme="majorEastAsia" w:hAnsiTheme="majorHAnsi" w:cstheme="majorBidi"/>
          <w:b/>
          <w:sz w:val="32"/>
          <w:szCs w:val="32"/>
        </w:rPr>
      </w:pPr>
      <w:r w:rsidRPr="00A00670">
        <w:br w:type="page"/>
      </w:r>
    </w:p>
    <w:p w14:paraId="41C0A56B" w14:textId="6A993D20" w:rsidR="00504B51" w:rsidRPr="00A00670" w:rsidRDefault="00504B51" w:rsidP="00A234D5">
      <w:pPr>
        <w:pStyle w:val="Naslov1p"/>
        <w:jc w:val="both"/>
      </w:pPr>
      <w:r w:rsidRPr="00A00670">
        <w:lastRenderedPageBreak/>
        <w:t>ŠTEVILO TRANSAKCIJ Z ZEMLJIŠČI</w:t>
      </w:r>
    </w:p>
    <w:p w14:paraId="1696D24A" w14:textId="7A0220C0" w:rsidR="00504B51" w:rsidRPr="00A00670" w:rsidRDefault="00504B51" w:rsidP="00A234D5">
      <w:pPr>
        <w:jc w:val="both"/>
      </w:pPr>
    </w:p>
    <w:p w14:paraId="7DE86A39" w14:textId="491664A1" w:rsidR="00B52C56" w:rsidRPr="00A00670" w:rsidRDefault="00C20311" w:rsidP="00A234D5">
      <w:pPr>
        <w:jc w:val="both"/>
      </w:pPr>
      <w:r w:rsidRPr="00A00670">
        <w:t>Zemljišča za gradnjo stavb so edina vrsta nepremičnin</w:t>
      </w:r>
      <w:r w:rsidR="00B52C56" w:rsidRPr="00A00670">
        <w:t xml:space="preserve">, </w:t>
      </w:r>
      <w:r w:rsidR="007E6FDA" w:rsidRPr="00A00670">
        <w:t xml:space="preserve">za </w:t>
      </w:r>
      <w:r w:rsidR="00B52C56" w:rsidRPr="00A00670">
        <w:t>kater</w:t>
      </w:r>
      <w:r w:rsidR="007E6FDA" w:rsidRPr="00A00670">
        <w:t xml:space="preserve">o se je </w:t>
      </w:r>
      <w:r w:rsidR="00B52C56" w:rsidRPr="00A00670">
        <w:t xml:space="preserve">število transakcij lani </w:t>
      </w:r>
      <w:r w:rsidR="00863989" w:rsidRPr="00A00670">
        <w:t xml:space="preserve">celo </w:t>
      </w:r>
      <w:r w:rsidR="00B52C56" w:rsidRPr="00A00670">
        <w:t xml:space="preserve">povečalo. Že po preliminarnih podatkih je namreč število evidentiranih transakcij za </w:t>
      </w:r>
      <w:r w:rsidR="00500FF3" w:rsidRPr="00A00670">
        <w:t>3</w:t>
      </w:r>
      <w:r w:rsidR="00B52C56" w:rsidRPr="00A00670">
        <w:t xml:space="preserve"> odstotk</w:t>
      </w:r>
      <w:r w:rsidR="00500FF3" w:rsidRPr="00A00670">
        <w:t>e</w:t>
      </w:r>
      <w:r w:rsidR="007E6FDA" w:rsidRPr="00A00670">
        <w:t xml:space="preserve"> večje kot leta 2019</w:t>
      </w:r>
      <w:r w:rsidR="00B52C56" w:rsidRPr="00A00670">
        <w:t xml:space="preserve">. Rast </w:t>
      </w:r>
      <w:r w:rsidR="007E6FDA" w:rsidRPr="00A00670">
        <w:t>števila transakcij kljub epidemiji</w:t>
      </w:r>
      <w:r w:rsidR="00927F93" w:rsidRPr="00A00670">
        <w:t xml:space="preserve"> gre pripisati predvsem velikemu povpraševanju po zemljiščih za gradnjo </w:t>
      </w:r>
      <w:r w:rsidR="007E6FDA" w:rsidRPr="00A00670">
        <w:t>družinskih</w:t>
      </w:r>
      <w:r w:rsidR="00927F93" w:rsidRPr="00A00670">
        <w:t xml:space="preserve"> hiš, ki </w:t>
      </w:r>
      <w:r w:rsidR="00863989" w:rsidRPr="00A00670">
        <w:t xml:space="preserve">je posledica nezadostne </w:t>
      </w:r>
      <w:r w:rsidR="002B5999" w:rsidRPr="00A00670">
        <w:t xml:space="preserve">tržne </w:t>
      </w:r>
      <w:r w:rsidR="00927F93" w:rsidRPr="00A00670">
        <w:t>ponudbe in visoki</w:t>
      </w:r>
      <w:r w:rsidR="00863989" w:rsidRPr="00A00670">
        <w:t>h</w:t>
      </w:r>
      <w:r w:rsidR="00927F93" w:rsidRPr="00A00670">
        <w:t xml:space="preserve"> cen novih stanovanj</w:t>
      </w:r>
      <w:r w:rsidR="007274B2" w:rsidRPr="00A00670">
        <w:t>skih enot</w:t>
      </w:r>
      <w:r w:rsidR="00927F93" w:rsidRPr="00A00670">
        <w:t>.</w:t>
      </w:r>
    </w:p>
    <w:p w14:paraId="5BA1B224" w14:textId="42CC21BA" w:rsidR="00FD0E2C" w:rsidRPr="00A00670" w:rsidRDefault="00187243" w:rsidP="00A234D5">
      <w:pPr>
        <w:jc w:val="both"/>
      </w:pPr>
      <w:r w:rsidRPr="00A00670">
        <w:t xml:space="preserve">Tudi za zemljišča za gradnjo stavb je bil padec števila transakcij po prvi razglasitvi epidemije očiten. Število evidentiranih transakcij je bilo aprila 2020 v primerjavi z aprilom 2019 </w:t>
      </w:r>
      <w:r w:rsidR="00A20847" w:rsidRPr="00A00670">
        <w:t xml:space="preserve">približno za polovico manjše, kar pa </w:t>
      </w:r>
      <w:r w:rsidR="00FD0E2C" w:rsidRPr="00A00670">
        <w:t xml:space="preserve">je </w:t>
      </w:r>
      <w:r w:rsidR="007274B2" w:rsidRPr="00A00670">
        <w:t xml:space="preserve">vseeno </w:t>
      </w:r>
      <w:r w:rsidR="00CA079C" w:rsidRPr="00A00670">
        <w:t>pomenilo</w:t>
      </w:r>
      <w:r w:rsidR="00FD0E2C" w:rsidRPr="00A00670">
        <w:t xml:space="preserve"> najmanjše zmanjšanje prometa med vsemi vrstami nepremičnin. </w:t>
      </w:r>
      <w:r w:rsidR="00CA079C" w:rsidRPr="00A00670">
        <w:t>Š</w:t>
      </w:r>
      <w:r w:rsidR="00863989" w:rsidRPr="00A00670">
        <w:t>tevilo transakcij z zazidljivimi zemljišči se je p</w:t>
      </w:r>
      <w:r w:rsidR="00FA6249" w:rsidRPr="00A00670">
        <w:t>o</w:t>
      </w:r>
      <w:r w:rsidR="00FD0E2C" w:rsidRPr="00A00670">
        <w:t xml:space="preserve"> preklicu epidemije </w:t>
      </w:r>
      <w:r w:rsidR="00FA6249" w:rsidRPr="00A00670">
        <w:t xml:space="preserve">spomladi </w:t>
      </w:r>
      <w:r w:rsidR="00863989" w:rsidRPr="00A00670">
        <w:t xml:space="preserve">hitro povečalo. </w:t>
      </w:r>
      <w:r w:rsidR="008D79B4" w:rsidRPr="00A00670">
        <w:t>Tako je bilo l</w:t>
      </w:r>
      <w:r w:rsidR="00863989" w:rsidRPr="00A00670">
        <w:t xml:space="preserve">anskega junija </w:t>
      </w:r>
      <w:r w:rsidR="00FD0E2C" w:rsidRPr="00A00670">
        <w:t>š</w:t>
      </w:r>
      <w:r w:rsidR="008D79B4" w:rsidRPr="00A00670">
        <w:t>tevilo evidentiranih transakcij</w:t>
      </w:r>
      <w:r w:rsidR="00863989" w:rsidRPr="00A00670">
        <w:t xml:space="preserve"> </w:t>
      </w:r>
      <w:r w:rsidR="00FD0E2C" w:rsidRPr="00A00670">
        <w:t xml:space="preserve">za skoraj 15 odstotkov večje kot </w:t>
      </w:r>
      <w:r w:rsidR="00863989" w:rsidRPr="00A00670">
        <w:t xml:space="preserve">junija </w:t>
      </w:r>
      <w:r w:rsidR="000C57B3" w:rsidRPr="00A00670">
        <w:t xml:space="preserve">2019. </w:t>
      </w:r>
      <w:r w:rsidR="00983094" w:rsidRPr="00A00670">
        <w:t>Tudi od julija do novembra je bilo nato š</w:t>
      </w:r>
      <w:r w:rsidR="00AC1E30" w:rsidRPr="00A00670">
        <w:t xml:space="preserve">tevilo transakcij </w:t>
      </w:r>
      <w:r w:rsidR="008D79B4" w:rsidRPr="00A00670">
        <w:t xml:space="preserve">v primerjavi z </w:t>
      </w:r>
      <w:r w:rsidR="00AC1E30" w:rsidRPr="00A00670">
        <w:t>leto</w:t>
      </w:r>
      <w:r w:rsidR="008D79B4" w:rsidRPr="00A00670">
        <w:t>m</w:t>
      </w:r>
      <w:r w:rsidR="00AC1E30" w:rsidRPr="00A00670">
        <w:t xml:space="preserve"> prej</w:t>
      </w:r>
      <w:r w:rsidR="00CA079C" w:rsidRPr="00A00670">
        <w:t xml:space="preserve"> </w:t>
      </w:r>
      <w:r w:rsidR="00983094" w:rsidRPr="00A00670">
        <w:t xml:space="preserve">občutno </w:t>
      </w:r>
      <w:r w:rsidR="008D79B4" w:rsidRPr="00A00670">
        <w:t>večje</w:t>
      </w:r>
      <w:r w:rsidR="00863989" w:rsidRPr="00A00670">
        <w:t>, septembra celo za 40 odstotkov.</w:t>
      </w:r>
      <w:r w:rsidR="00AC1E30" w:rsidRPr="00A00670">
        <w:t xml:space="preserve"> Glede na</w:t>
      </w:r>
      <w:r w:rsidR="00983094" w:rsidRPr="00A00670">
        <w:t xml:space="preserve"> začasne podatke </w:t>
      </w:r>
      <w:r w:rsidR="00AC1E30" w:rsidRPr="00A00670">
        <w:t xml:space="preserve">ocenjujemo, da je bilo število realiziranih transakcij tudi decembra 2020 </w:t>
      </w:r>
      <w:r w:rsidR="00983094" w:rsidRPr="00A00670">
        <w:t xml:space="preserve">večje </w:t>
      </w:r>
      <w:r w:rsidR="00AC1E30" w:rsidRPr="00A00670">
        <w:t xml:space="preserve">kot decembra 2019. </w:t>
      </w:r>
      <w:r w:rsidR="00983094" w:rsidRPr="00A00670">
        <w:t>V</w:t>
      </w:r>
      <w:r w:rsidR="00AC1E30" w:rsidRPr="00A00670">
        <w:t>pliva drugega vala epidemije na trgovanje z zazidljivimi stavbnimi zemljišči</w:t>
      </w:r>
      <w:r w:rsidR="00983094" w:rsidRPr="00A00670">
        <w:t xml:space="preserve">, vsaj </w:t>
      </w:r>
      <w:r w:rsidR="00CA079C" w:rsidRPr="00A00670">
        <w:t>do konca leta</w:t>
      </w:r>
      <w:r w:rsidR="00983094" w:rsidRPr="00A00670">
        <w:t>, tako</w:t>
      </w:r>
      <w:r w:rsidR="00CA079C" w:rsidRPr="00A00670">
        <w:t xml:space="preserve"> </w:t>
      </w:r>
      <w:r w:rsidR="00AC1E30" w:rsidRPr="00A00670">
        <w:t>praktično ni bilo zaznati.</w:t>
      </w:r>
      <w:r w:rsidR="000C57B3" w:rsidRPr="00A00670">
        <w:t xml:space="preserve"> </w:t>
      </w:r>
    </w:p>
    <w:p w14:paraId="3FE33AA8" w14:textId="77777777" w:rsidR="00B52C56" w:rsidRPr="00A00670" w:rsidRDefault="00B52C56" w:rsidP="00983094">
      <w:pPr>
        <w:pStyle w:val="Brezrazmikov"/>
      </w:pPr>
    </w:p>
    <w:p w14:paraId="330E213F" w14:textId="4896A080" w:rsidR="00504B51" w:rsidRPr="00A00670" w:rsidRDefault="00624C66" w:rsidP="00A234D5">
      <w:pPr>
        <w:pStyle w:val="NAPISp"/>
        <w:jc w:val="both"/>
      </w:pPr>
      <w:r w:rsidRPr="00A00670">
        <w:t xml:space="preserve">Preglednica </w:t>
      </w:r>
      <w:fldSimple w:instr=" SEQ Preglednica \* ARABIC ">
        <w:r w:rsidR="00DC0028" w:rsidRPr="00A00670">
          <w:rPr>
            <w:noProof/>
          </w:rPr>
          <w:t>4</w:t>
        </w:r>
      </w:fldSimple>
      <w:r w:rsidRPr="00A00670">
        <w:t>: Število evidentiranih transakcij z zemljišči, Slovenija, letno od 2015 do 2020</w:t>
      </w:r>
    </w:p>
    <w:tbl>
      <w:tblPr>
        <w:tblStyle w:val="Tabelamrea"/>
        <w:tblW w:w="9000" w:type="dxa"/>
        <w:tblLook w:val="04A0" w:firstRow="1" w:lastRow="0" w:firstColumn="1" w:lastColumn="0" w:noHBand="0" w:noVBand="1"/>
      </w:tblPr>
      <w:tblGrid>
        <w:gridCol w:w="3240"/>
        <w:gridCol w:w="960"/>
        <w:gridCol w:w="960"/>
        <w:gridCol w:w="960"/>
        <w:gridCol w:w="960"/>
        <w:gridCol w:w="960"/>
        <w:gridCol w:w="960"/>
      </w:tblGrid>
      <w:tr w:rsidR="00497B6A" w:rsidRPr="00A00670" w14:paraId="01799784" w14:textId="77777777" w:rsidTr="00497B6A">
        <w:trPr>
          <w:trHeight w:val="300"/>
        </w:trPr>
        <w:tc>
          <w:tcPr>
            <w:tcW w:w="3240" w:type="dxa"/>
            <w:shd w:val="clear" w:color="auto" w:fill="DEEAF6" w:themeFill="accent5" w:themeFillTint="33"/>
            <w:noWrap/>
            <w:hideMark/>
          </w:tcPr>
          <w:p w14:paraId="401E48DA" w14:textId="250B152A" w:rsidR="00497B6A" w:rsidRPr="00A00670" w:rsidRDefault="00497B6A" w:rsidP="00A234D5">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 </w:t>
            </w:r>
            <w:r w:rsidR="00D32DF7" w:rsidRPr="00A00670">
              <w:rPr>
                <w:rFonts w:ascii="Calibri" w:eastAsia="Times New Roman" w:hAnsi="Calibri" w:cs="Calibri"/>
                <w:b/>
                <w:bCs/>
                <w:color w:val="000000"/>
                <w:lang w:eastAsia="sl-SI"/>
              </w:rPr>
              <w:t>Vrsta zemljišča</w:t>
            </w:r>
          </w:p>
        </w:tc>
        <w:tc>
          <w:tcPr>
            <w:tcW w:w="960" w:type="dxa"/>
            <w:shd w:val="clear" w:color="auto" w:fill="DEEAF6" w:themeFill="accent5" w:themeFillTint="33"/>
            <w:noWrap/>
            <w:hideMark/>
          </w:tcPr>
          <w:p w14:paraId="64DD9A4D" w14:textId="77777777" w:rsidR="00497B6A" w:rsidRPr="00A00670" w:rsidRDefault="00497B6A" w:rsidP="00D32DF7">
            <w:pPr>
              <w:jc w:val="center"/>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2015</w:t>
            </w:r>
          </w:p>
        </w:tc>
        <w:tc>
          <w:tcPr>
            <w:tcW w:w="960" w:type="dxa"/>
            <w:shd w:val="clear" w:color="auto" w:fill="DEEAF6" w:themeFill="accent5" w:themeFillTint="33"/>
            <w:noWrap/>
            <w:hideMark/>
          </w:tcPr>
          <w:p w14:paraId="24756446" w14:textId="77777777" w:rsidR="00497B6A" w:rsidRPr="00A00670" w:rsidRDefault="00497B6A" w:rsidP="00D32DF7">
            <w:pPr>
              <w:jc w:val="center"/>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2016</w:t>
            </w:r>
          </w:p>
        </w:tc>
        <w:tc>
          <w:tcPr>
            <w:tcW w:w="960" w:type="dxa"/>
            <w:shd w:val="clear" w:color="auto" w:fill="DEEAF6" w:themeFill="accent5" w:themeFillTint="33"/>
            <w:noWrap/>
            <w:hideMark/>
          </w:tcPr>
          <w:p w14:paraId="4694A546" w14:textId="77777777" w:rsidR="00497B6A" w:rsidRPr="00A00670" w:rsidRDefault="00497B6A" w:rsidP="00D32DF7">
            <w:pPr>
              <w:jc w:val="center"/>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2017</w:t>
            </w:r>
          </w:p>
        </w:tc>
        <w:tc>
          <w:tcPr>
            <w:tcW w:w="960" w:type="dxa"/>
            <w:shd w:val="clear" w:color="auto" w:fill="DEEAF6" w:themeFill="accent5" w:themeFillTint="33"/>
            <w:noWrap/>
            <w:hideMark/>
          </w:tcPr>
          <w:p w14:paraId="4F955215" w14:textId="77777777" w:rsidR="00497B6A" w:rsidRPr="00A00670" w:rsidRDefault="00497B6A" w:rsidP="00D32DF7">
            <w:pPr>
              <w:jc w:val="center"/>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2018</w:t>
            </w:r>
          </w:p>
        </w:tc>
        <w:tc>
          <w:tcPr>
            <w:tcW w:w="960" w:type="dxa"/>
            <w:shd w:val="clear" w:color="auto" w:fill="DEEAF6" w:themeFill="accent5" w:themeFillTint="33"/>
            <w:noWrap/>
            <w:hideMark/>
          </w:tcPr>
          <w:p w14:paraId="2E7ADFCC" w14:textId="77777777" w:rsidR="00497B6A" w:rsidRPr="00A00670" w:rsidRDefault="00497B6A" w:rsidP="00D32DF7">
            <w:pPr>
              <w:jc w:val="center"/>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2019</w:t>
            </w:r>
          </w:p>
        </w:tc>
        <w:tc>
          <w:tcPr>
            <w:tcW w:w="960" w:type="dxa"/>
            <w:shd w:val="clear" w:color="auto" w:fill="DEEAF6" w:themeFill="accent5" w:themeFillTint="33"/>
            <w:noWrap/>
            <w:hideMark/>
          </w:tcPr>
          <w:p w14:paraId="3AE86BBA" w14:textId="77777777" w:rsidR="00497B6A" w:rsidRPr="00A00670" w:rsidRDefault="00497B6A" w:rsidP="003A3551">
            <w:pPr>
              <w:jc w:val="center"/>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2020</w:t>
            </w:r>
          </w:p>
        </w:tc>
      </w:tr>
      <w:tr w:rsidR="00C51204" w:rsidRPr="00A00670" w14:paraId="69432ED7" w14:textId="77777777" w:rsidTr="00F26A5D">
        <w:trPr>
          <w:trHeight w:val="300"/>
        </w:trPr>
        <w:tc>
          <w:tcPr>
            <w:tcW w:w="3240" w:type="dxa"/>
            <w:noWrap/>
            <w:hideMark/>
          </w:tcPr>
          <w:p w14:paraId="30B6475F" w14:textId="3270AB1B" w:rsidR="00C51204" w:rsidRPr="00A00670" w:rsidRDefault="00C51204" w:rsidP="00C51204">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Zemljišča za gradnjo stavb</w:t>
            </w:r>
          </w:p>
        </w:tc>
        <w:tc>
          <w:tcPr>
            <w:tcW w:w="960" w:type="dxa"/>
            <w:noWrap/>
            <w:vAlign w:val="bottom"/>
            <w:hideMark/>
          </w:tcPr>
          <w:p w14:paraId="5BDCC5A1" w14:textId="63DCF243"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3828</w:t>
            </w:r>
          </w:p>
        </w:tc>
        <w:tc>
          <w:tcPr>
            <w:tcW w:w="960" w:type="dxa"/>
            <w:noWrap/>
            <w:vAlign w:val="bottom"/>
            <w:hideMark/>
          </w:tcPr>
          <w:p w14:paraId="3F9686B8" w14:textId="70714913"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4861</w:t>
            </w:r>
          </w:p>
        </w:tc>
        <w:tc>
          <w:tcPr>
            <w:tcW w:w="960" w:type="dxa"/>
            <w:noWrap/>
            <w:vAlign w:val="bottom"/>
            <w:hideMark/>
          </w:tcPr>
          <w:p w14:paraId="0CBB1F1B" w14:textId="2AEEBA01"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5358</w:t>
            </w:r>
          </w:p>
        </w:tc>
        <w:tc>
          <w:tcPr>
            <w:tcW w:w="960" w:type="dxa"/>
            <w:noWrap/>
            <w:vAlign w:val="bottom"/>
            <w:hideMark/>
          </w:tcPr>
          <w:p w14:paraId="01A5159F" w14:textId="1730CAD5"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5429</w:t>
            </w:r>
          </w:p>
        </w:tc>
        <w:tc>
          <w:tcPr>
            <w:tcW w:w="960" w:type="dxa"/>
            <w:noWrap/>
            <w:vAlign w:val="bottom"/>
            <w:hideMark/>
          </w:tcPr>
          <w:p w14:paraId="353B1AD4" w14:textId="0D585FEE"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5633</w:t>
            </w:r>
          </w:p>
        </w:tc>
        <w:tc>
          <w:tcPr>
            <w:tcW w:w="960" w:type="dxa"/>
            <w:noWrap/>
            <w:vAlign w:val="bottom"/>
            <w:hideMark/>
          </w:tcPr>
          <w:p w14:paraId="3780F4FC" w14:textId="4124DF3C"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5796</w:t>
            </w:r>
          </w:p>
        </w:tc>
      </w:tr>
      <w:tr w:rsidR="00C51204" w:rsidRPr="00A00670" w14:paraId="25956A44" w14:textId="77777777" w:rsidTr="00F26A5D">
        <w:trPr>
          <w:trHeight w:val="300"/>
        </w:trPr>
        <w:tc>
          <w:tcPr>
            <w:tcW w:w="3240" w:type="dxa"/>
            <w:noWrap/>
            <w:hideMark/>
          </w:tcPr>
          <w:p w14:paraId="5168D49B" w14:textId="5FD8C1C4" w:rsidR="00C51204" w:rsidRPr="00A00670" w:rsidRDefault="00C51204" w:rsidP="00C51204">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Kmetijska zemljišča</w:t>
            </w:r>
          </w:p>
        </w:tc>
        <w:tc>
          <w:tcPr>
            <w:tcW w:w="960" w:type="dxa"/>
            <w:noWrap/>
            <w:vAlign w:val="bottom"/>
            <w:hideMark/>
          </w:tcPr>
          <w:p w14:paraId="3DB12ABB" w14:textId="6D1EED35"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7454</w:t>
            </w:r>
          </w:p>
        </w:tc>
        <w:tc>
          <w:tcPr>
            <w:tcW w:w="960" w:type="dxa"/>
            <w:noWrap/>
            <w:vAlign w:val="bottom"/>
            <w:hideMark/>
          </w:tcPr>
          <w:p w14:paraId="50C11B67" w14:textId="5FF53C87"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8135</w:t>
            </w:r>
          </w:p>
        </w:tc>
        <w:tc>
          <w:tcPr>
            <w:tcW w:w="960" w:type="dxa"/>
            <w:noWrap/>
            <w:vAlign w:val="bottom"/>
            <w:hideMark/>
          </w:tcPr>
          <w:p w14:paraId="1B452599" w14:textId="0895A92E"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8497</w:t>
            </w:r>
          </w:p>
        </w:tc>
        <w:tc>
          <w:tcPr>
            <w:tcW w:w="960" w:type="dxa"/>
            <w:noWrap/>
            <w:vAlign w:val="bottom"/>
            <w:hideMark/>
          </w:tcPr>
          <w:p w14:paraId="46C016A1" w14:textId="2EF72A5B"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8441</w:t>
            </w:r>
          </w:p>
        </w:tc>
        <w:tc>
          <w:tcPr>
            <w:tcW w:w="960" w:type="dxa"/>
            <w:noWrap/>
            <w:vAlign w:val="bottom"/>
            <w:hideMark/>
          </w:tcPr>
          <w:p w14:paraId="5230F33B" w14:textId="12035255"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9087</w:t>
            </w:r>
          </w:p>
        </w:tc>
        <w:tc>
          <w:tcPr>
            <w:tcW w:w="960" w:type="dxa"/>
            <w:noWrap/>
            <w:vAlign w:val="bottom"/>
            <w:hideMark/>
          </w:tcPr>
          <w:p w14:paraId="3AF008FB" w14:textId="035F213B"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7939</w:t>
            </w:r>
          </w:p>
        </w:tc>
      </w:tr>
      <w:tr w:rsidR="00C51204" w:rsidRPr="00A00670" w14:paraId="6B137FDA" w14:textId="77777777" w:rsidTr="00F26A5D">
        <w:trPr>
          <w:trHeight w:val="300"/>
        </w:trPr>
        <w:tc>
          <w:tcPr>
            <w:tcW w:w="3240" w:type="dxa"/>
            <w:noWrap/>
            <w:hideMark/>
          </w:tcPr>
          <w:p w14:paraId="701A6773" w14:textId="55E74CE9" w:rsidR="00C51204" w:rsidRPr="00A00670" w:rsidRDefault="00C51204" w:rsidP="00C51204">
            <w:pPr>
              <w:jc w:val="both"/>
              <w:rPr>
                <w:rFonts w:ascii="Calibri" w:eastAsia="Times New Roman" w:hAnsi="Calibri" w:cs="Calibri"/>
                <w:color w:val="000000"/>
                <w:lang w:eastAsia="sl-SI"/>
              </w:rPr>
            </w:pPr>
            <w:r w:rsidRPr="00A00670">
              <w:rPr>
                <w:rFonts w:ascii="Calibri" w:eastAsia="Times New Roman" w:hAnsi="Calibri" w:cs="Calibri"/>
                <w:color w:val="000000"/>
                <w:lang w:eastAsia="sl-SI"/>
              </w:rPr>
              <w:t>Gozdna zemljišča</w:t>
            </w:r>
          </w:p>
        </w:tc>
        <w:tc>
          <w:tcPr>
            <w:tcW w:w="960" w:type="dxa"/>
            <w:noWrap/>
            <w:vAlign w:val="bottom"/>
            <w:hideMark/>
          </w:tcPr>
          <w:p w14:paraId="3FFFA22F" w14:textId="239B522F"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2284</w:t>
            </w:r>
          </w:p>
        </w:tc>
        <w:tc>
          <w:tcPr>
            <w:tcW w:w="960" w:type="dxa"/>
            <w:noWrap/>
            <w:vAlign w:val="bottom"/>
            <w:hideMark/>
          </w:tcPr>
          <w:p w14:paraId="4CFDC535" w14:textId="2E1659DC"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2543</w:t>
            </w:r>
          </w:p>
        </w:tc>
        <w:tc>
          <w:tcPr>
            <w:tcW w:w="960" w:type="dxa"/>
            <w:noWrap/>
            <w:vAlign w:val="bottom"/>
            <w:hideMark/>
          </w:tcPr>
          <w:p w14:paraId="3E835DD1" w14:textId="5ED38FFA"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2787</w:t>
            </w:r>
          </w:p>
        </w:tc>
        <w:tc>
          <w:tcPr>
            <w:tcW w:w="960" w:type="dxa"/>
            <w:noWrap/>
            <w:vAlign w:val="bottom"/>
            <w:hideMark/>
          </w:tcPr>
          <w:p w14:paraId="50B2F36A" w14:textId="496602CB"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2990</w:t>
            </w:r>
          </w:p>
        </w:tc>
        <w:tc>
          <w:tcPr>
            <w:tcW w:w="960" w:type="dxa"/>
            <w:noWrap/>
            <w:vAlign w:val="bottom"/>
            <w:hideMark/>
          </w:tcPr>
          <w:p w14:paraId="7C311733" w14:textId="523E0B19"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3370</w:t>
            </w:r>
          </w:p>
        </w:tc>
        <w:tc>
          <w:tcPr>
            <w:tcW w:w="960" w:type="dxa"/>
            <w:noWrap/>
            <w:vAlign w:val="bottom"/>
            <w:hideMark/>
          </w:tcPr>
          <w:p w14:paraId="0253FCBD" w14:textId="7DB6BDBB" w:rsidR="00C51204" w:rsidRPr="00A00670" w:rsidRDefault="00C51204" w:rsidP="00C51204">
            <w:pPr>
              <w:jc w:val="right"/>
              <w:rPr>
                <w:rFonts w:ascii="Calibri" w:eastAsia="Times New Roman" w:hAnsi="Calibri" w:cs="Calibri"/>
                <w:color w:val="000000"/>
                <w:lang w:eastAsia="sl-SI"/>
              </w:rPr>
            </w:pPr>
            <w:r w:rsidRPr="00A00670">
              <w:rPr>
                <w:rFonts w:ascii="Calibri" w:hAnsi="Calibri" w:cs="Calibri"/>
                <w:color w:val="000000"/>
              </w:rPr>
              <w:t>2788</w:t>
            </w:r>
          </w:p>
        </w:tc>
      </w:tr>
    </w:tbl>
    <w:p w14:paraId="661CB9F1" w14:textId="77777777" w:rsidR="00497B6A" w:rsidRPr="00A00670" w:rsidRDefault="00497B6A" w:rsidP="00A234D5">
      <w:pPr>
        <w:pStyle w:val="janopombe"/>
        <w:ind w:left="284" w:hanging="284"/>
        <w:jc w:val="both"/>
        <w:rPr>
          <w:sz w:val="20"/>
          <w:szCs w:val="20"/>
        </w:rPr>
      </w:pPr>
      <w:r w:rsidRPr="00A00670">
        <w:rPr>
          <w:sz w:val="20"/>
          <w:szCs w:val="20"/>
        </w:rPr>
        <w:t>Opomba:</w:t>
      </w:r>
    </w:p>
    <w:p w14:paraId="77164B1B" w14:textId="77777777" w:rsidR="00E979E2" w:rsidRPr="00A00670" w:rsidRDefault="00E979E2" w:rsidP="00A234D5">
      <w:pPr>
        <w:pStyle w:val="janopombe"/>
        <w:numPr>
          <w:ilvl w:val="0"/>
          <w:numId w:val="1"/>
        </w:numPr>
        <w:jc w:val="both"/>
        <w:rPr>
          <w:sz w:val="20"/>
          <w:szCs w:val="20"/>
        </w:rPr>
      </w:pPr>
      <w:r w:rsidRPr="00A00670">
        <w:rPr>
          <w:sz w:val="20"/>
          <w:szCs w:val="20"/>
        </w:rPr>
        <w:t>za eno transakcijo določene vrste zemljišča šteje kupoprodaja vseh istovrstnih parcel ali njihovih delov, ki so predmet iste kupoprodajne pogodb,</w:t>
      </w:r>
    </w:p>
    <w:p w14:paraId="2D4C54FA" w14:textId="77777777" w:rsidR="00E979E2" w:rsidRPr="00A00670" w:rsidRDefault="00E979E2" w:rsidP="00A234D5">
      <w:pPr>
        <w:pStyle w:val="janopombe"/>
        <w:numPr>
          <w:ilvl w:val="0"/>
          <w:numId w:val="1"/>
        </w:numPr>
        <w:jc w:val="both"/>
        <w:rPr>
          <w:sz w:val="20"/>
          <w:szCs w:val="20"/>
        </w:rPr>
      </w:pPr>
      <w:r w:rsidRPr="00A00670">
        <w:rPr>
          <w:sz w:val="20"/>
          <w:szCs w:val="20"/>
        </w:rPr>
        <w:t>kot zemljišča za gradnjo stavb so upoštevana nepozidana zazidljiva stavbna zemljišča, ne glede na upravno-pravni status,</w:t>
      </w:r>
    </w:p>
    <w:p w14:paraId="6464D28F" w14:textId="77777777" w:rsidR="00E979E2" w:rsidRPr="00A00670" w:rsidRDefault="00E979E2" w:rsidP="00A234D5">
      <w:pPr>
        <w:pStyle w:val="janopombe"/>
        <w:numPr>
          <w:ilvl w:val="0"/>
          <w:numId w:val="1"/>
        </w:numPr>
        <w:jc w:val="both"/>
        <w:rPr>
          <w:sz w:val="20"/>
          <w:szCs w:val="20"/>
        </w:rPr>
      </w:pPr>
      <w:r w:rsidRPr="00A00670">
        <w:rPr>
          <w:sz w:val="20"/>
          <w:szCs w:val="20"/>
        </w:rPr>
        <w:t>kot kmetijska zemljišča so upoštevana zemljišča za kmetijsko rabo, vključno s trajnimi nasadi.</w:t>
      </w:r>
    </w:p>
    <w:p w14:paraId="0AEEACB1" w14:textId="77777777" w:rsidR="00624C66" w:rsidRPr="00A00670" w:rsidRDefault="00624C66" w:rsidP="00A50B57"/>
    <w:p w14:paraId="478A5E29" w14:textId="47DD7B0F" w:rsidR="00C51204" w:rsidRPr="00A00670" w:rsidRDefault="00C51204" w:rsidP="00A234D5">
      <w:pPr>
        <w:jc w:val="both"/>
      </w:pPr>
      <w:r w:rsidRPr="00A00670">
        <w:t>Na podlagi p</w:t>
      </w:r>
      <w:r w:rsidR="00062020" w:rsidRPr="00A00670">
        <w:t>r</w:t>
      </w:r>
      <w:r w:rsidRPr="00A00670">
        <w:t>eliminarnih podatk</w:t>
      </w:r>
      <w:r w:rsidR="00062020" w:rsidRPr="00A00670">
        <w:t xml:space="preserve">ov ocenjujemo, da je bilo leta 2020 število kupoprodaj kmetijskih in gozdnih zemljišč za okoli 15 odstotkov manjše kot leta 2019. Skupni upad števila transakcij s kmetijskimi in gozdnimi zemljišči je bil tako </w:t>
      </w:r>
      <w:r w:rsidR="00A322BE" w:rsidRPr="00A00670">
        <w:t>skoraj tak</w:t>
      </w:r>
      <w:r w:rsidR="00062020" w:rsidRPr="00A00670">
        <w:t xml:space="preserve"> kot za stanovanjske nepremičnine.</w:t>
      </w:r>
    </w:p>
    <w:p w14:paraId="68DDD650" w14:textId="45EF798B" w:rsidR="00206221" w:rsidRPr="00A00670" w:rsidRDefault="008B61DA" w:rsidP="00A234D5">
      <w:pPr>
        <w:jc w:val="both"/>
      </w:pPr>
      <w:r w:rsidRPr="00A00670">
        <w:t xml:space="preserve">Vpliv spomladanske zaustavitve javnega življenja na </w:t>
      </w:r>
      <w:r w:rsidR="00CC3E48" w:rsidRPr="00A00670">
        <w:t>promet</w:t>
      </w:r>
      <w:r w:rsidRPr="00A00670">
        <w:t xml:space="preserve"> s kmetijskimi in gozdnimi zemljišči je bil </w:t>
      </w:r>
      <w:r w:rsidR="00FE2F54" w:rsidRPr="00A00670">
        <w:t xml:space="preserve">izrazit. </w:t>
      </w:r>
      <w:r w:rsidR="0007227A" w:rsidRPr="00A00670">
        <w:t xml:space="preserve">Aprila 2020 je bilo skupno število evidentiranih transakcij s kmetijskimi in gozdnimi zemljišči za </w:t>
      </w:r>
      <w:r w:rsidR="00FE2F54" w:rsidRPr="00A00670">
        <w:t xml:space="preserve">okoli 60 odstotkov </w:t>
      </w:r>
      <w:r w:rsidR="0007227A" w:rsidRPr="00A00670">
        <w:t xml:space="preserve">manjše kot </w:t>
      </w:r>
      <w:r w:rsidR="003A3551" w:rsidRPr="00A00670">
        <w:t xml:space="preserve">aprila </w:t>
      </w:r>
      <w:r w:rsidR="0007227A" w:rsidRPr="00A00670">
        <w:t>leta 2019.</w:t>
      </w:r>
      <w:r w:rsidR="00FE2F54" w:rsidRPr="00A00670">
        <w:t xml:space="preserve"> Po majskem preklicu »</w:t>
      </w:r>
      <w:proofErr w:type="spellStart"/>
      <w:r w:rsidR="00FE2F54" w:rsidRPr="00A00670">
        <w:t>protikoronskih</w:t>
      </w:r>
      <w:proofErr w:type="spellEnd"/>
      <w:r w:rsidR="00FE2F54" w:rsidRPr="00A00670">
        <w:t xml:space="preserve">« ukrepov je nato mesečni promet s kmetijskimi in gozdnimi zemljišči do oktobra presegal promet v enakem obdobju leta 2019. </w:t>
      </w:r>
      <w:r w:rsidR="0007227A" w:rsidRPr="00A00670">
        <w:t xml:space="preserve">Novembra in decembra je bilo </w:t>
      </w:r>
      <w:r w:rsidR="00206221" w:rsidRPr="00A00670">
        <w:t>sicer zaznati upad števila transakcij zaradi drugega vala epidemije, na osnovi še začasnih podatkov pa ocenjujemo, da je bil ta bistveno manjši kot ob prvem valu.</w:t>
      </w:r>
    </w:p>
    <w:p w14:paraId="09B27D19" w14:textId="12793E1E" w:rsidR="00FD3867" w:rsidRPr="00A00670" w:rsidRDefault="00206221" w:rsidP="00A50B57">
      <w:pPr>
        <w:pStyle w:val="Brezrazmikov"/>
      </w:pPr>
      <w:r w:rsidRPr="00A00670">
        <w:t xml:space="preserve"> </w:t>
      </w:r>
    </w:p>
    <w:p w14:paraId="6C61B67F" w14:textId="77777777" w:rsidR="00205E29" w:rsidRPr="00A00670" w:rsidRDefault="00205E29">
      <w:pPr>
        <w:rPr>
          <w:i/>
          <w:iCs/>
          <w:sz w:val="24"/>
          <w:szCs w:val="18"/>
        </w:rPr>
      </w:pPr>
      <w:r w:rsidRPr="00A00670">
        <w:br w:type="page"/>
      </w:r>
    </w:p>
    <w:p w14:paraId="5916E764" w14:textId="5C7DC07D" w:rsidR="00497B6A" w:rsidRPr="00A00670" w:rsidRDefault="00497B6A" w:rsidP="00A234D5">
      <w:pPr>
        <w:pStyle w:val="NAPISp"/>
        <w:jc w:val="both"/>
      </w:pPr>
      <w:r w:rsidRPr="00A00670">
        <w:lastRenderedPageBreak/>
        <w:t xml:space="preserve">Slika </w:t>
      </w:r>
      <w:fldSimple w:instr=" SEQ Slika \* ARABIC ">
        <w:r w:rsidR="00DC0028" w:rsidRPr="00A00670">
          <w:rPr>
            <w:noProof/>
          </w:rPr>
          <w:t>5</w:t>
        </w:r>
      </w:fldSimple>
      <w:r w:rsidRPr="00A00670">
        <w:t>: Število evidentiranih transakcij z zemljišči, Slovenija, letno od 2015 do 2020</w:t>
      </w:r>
    </w:p>
    <w:p w14:paraId="1A576288" w14:textId="2139C176" w:rsidR="00A50B57" w:rsidRPr="00A00670" w:rsidRDefault="00A50B57" w:rsidP="00A234D5">
      <w:pPr>
        <w:pStyle w:val="NAPISp"/>
        <w:jc w:val="both"/>
      </w:pPr>
      <w:r w:rsidRPr="00A00670">
        <w:rPr>
          <w:noProof/>
          <w:lang w:eastAsia="sl-SI"/>
        </w:rPr>
        <w:drawing>
          <wp:inline distT="0" distB="0" distL="0" distR="0" wp14:anchorId="302959E0" wp14:editId="1DA54FB5">
            <wp:extent cx="5715000" cy="3421944"/>
            <wp:effectExtent l="0" t="0" r="0" b="7620"/>
            <wp:docPr id="6" name="Slika 6" descr="Grafični prikaz gibanja števila evidentiranih transakcij po vrstah zemljišč od leta 2015 do 2020, na osnovi podatkov iz preglednic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Grafični prikaz gibanja števila evidentiranih transakcij po vrstah zemljišč od leta 2015 do 2020, na osnovi podatkov iz preglednice 4."/>
                    <pic:cNvPicPr/>
                  </pic:nvPicPr>
                  <pic:blipFill>
                    <a:blip r:embed="rId12"/>
                    <a:stretch>
                      <a:fillRect/>
                    </a:stretch>
                  </pic:blipFill>
                  <pic:spPr>
                    <a:xfrm>
                      <a:off x="0" y="0"/>
                      <a:ext cx="5757294" cy="3447268"/>
                    </a:xfrm>
                    <a:prstGeom prst="rect">
                      <a:avLst/>
                    </a:prstGeom>
                  </pic:spPr>
                </pic:pic>
              </a:graphicData>
            </a:graphic>
          </wp:inline>
        </w:drawing>
      </w:r>
    </w:p>
    <w:p w14:paraId="5EB7DD57" w14:textId="21C8C889" w:rsidR="00497B6A" w:rsidRPr="00A00670" w:rsidRDefault="00497B6A" w:rsidP="00A234D5">
      <w:pPr>
        <w:jc w:val="both"/>
      </w:pPr>
    </w:p>
    <w:p w14:paraId="2EC1F8AD" w14:textId="626DD492" w:rsidR="00205E29" w:rsidRPr="00A00670" w:rsidRDefault="00205E29" w:rsidP="00A234D5">
      <w:pPr>
        <w:jc w:val="both"/>
      </w:pPr>
    </w:p>
    <w:p w14:paraId="2A80C912" w14:textId="77777777" w:rsidR="00205E29" w:rsidRPr="00A00670" w:rsidRDefault="00205E29" w:rsidP="00A234D5">
      <w:pPr>
        <w:jc w:val="both"/>
      </w:pPr>
    </w:p>
    <w:p w14:paraId="622DA28B" w14:textId="7BA304D8" w:rsidR="00BF3FC9" w:rsidRPr="00A00670" w:rsidRDefault="00BF3FC9" w:rsidP="00A234D5">
      <w:pPr>
        <w:pStyle w:val="Naslov1p"/>
        <w:jc w:val="both"/>
      </w:pPr>
      <w:r w:rsidRPr="00A00670">
        <w:t>GIBANJE CEN STANOVANJ</w:t>
      </w:r>
    </w:p>
    <w:p w14:paraId="0BC1A2A3" w14:textId="11B6AD34" w:rsidR="00BF3FC9" w:rsidRPr="00A00670" w:rsidRDefault="00BF3FC9" w:rsidP="00A234D5">
      <w:pPr>
        <w:jc w:val="both"/>
      </w:pPr>
    </w:p>
    <w:p w14:paraId="191B0D88" w14:textId="13AE62DF" w:rsidR="00A122E3" w:rsidRPr="00A00670" w:rsidRDefault="00A122E3" w:rsidP="00A234D5">
      <w:pPr>
        <w:jc w:val="both"/>
      </w:pPr>
      <w:r w:rsidRPr="00A00670">
        <w:t>Gibanje cen rabljenih stanovanj, ki predstavljajo daleč največji segment slovenskega nepremičninskega trga</w:t>
      </w:r>
      <w:r w:rsidR="006A2AE9" w:rsidRPr="00A00670">
        <w:t xml:space="preserve">, praviloma najbolje ponazarja </w:t>
      </w:r>
      <w:r w:rsidR="00034585" w:rsidRPr="00A00670">
        <w:t xml:space="preserve">aktualne </w:t>
      </w:r>
      <w:r w:rsidR="006A2AE9" w:rsidRPr="00A00670">
        <w:t>trende cen nepremičnin, zlasti sta</w:t>
      </w:r>
      <w:r w:rsidRPr="00A00670">
        <w:t>n</w:t>
      </w:r>
      <w:r w:rsidR="006A2AE9" w:rsidRPr="00A00670">
        <w:t xml:space="preserve">ovanjskih. </w:t>
      </w:r>
      <w:r w:rsidRPr="00A00670">
        <w:t xml:space="preserve">Začasni podatki o cenah rabljenih stanovanj za lansko leto kažejo, da </w:t>
      </w:r>
      <w:r w:rsidR="00B42C04" w:rsidRPr="00A00670">
        <w:t>so</w:t>
      </w:r>
      <w:r w:rsidR="00795B3A" w:rsidRPr="00A00670">
        <w:t>,</w:t>
      </w:r>
      <w:r w:rsidR="00B42C04" w:rsidRPr="00A00670">
        <w:t xml:space="preserve"> </w:t>
      </w:r>
      <w:r w:rsidR="00795B3A" w:rsidRPr="00A00670">
        <w:t xml:space="preserve">ne glede na manjši promet zaradi epidemije, </w:t>
      </w:r>
      <w:r w:rsidR="00034585" w:rsidRPr="00A00670">
        <w:t xml:space="preserve">cene stanovanj </w:t>
      </w:r>
      <w:r w:rsidR="00B42C04" w:rsidRPr="00A00670">
        <w:t>na ravni države</w:t>
      </w:r>
      <w:r w:rsidR="00034585" w:rsidRPr="00A00670">
        <w:t xml:space="preserve"> zrasle.</w:t>
      </w:r>
      <w:r w:rsidRPr="00A00670">
        <w:t xml:space="preserve"> </w:t>
      </w:r>
    </w:p>
    <w:p w14:paraId="0B254606" w14:textId="569E8CCF" w:rsidR="003B7099" w:rsidRPr="00A00670" w:rsidRDefault="003B7099" w:rsidP="00FF6D0B">
      <w:pPr>
        <w:pStyle w:val="Brezrazmikov"/>
      </w:pPr>
    </w:p>
    <w:p w14:paraId="2FFC0C74" w14:textId="25225DBE" w:rsidR="00BF3FC9" w:rsidRPr="00A00670" w:rsidRDefault="003B7099" w:rsidP="00A234D5">
      <w:pPr>
        <w:pStyle w:val="NAPISp"/>
        <w:jc w:val="both"/>
      </w:pPr>
      <w:r w:rsidRPr="00A00670">
        <w:t xml:space="preserve">Preglednica </w:t>
      </w:r>
      <w:fldSimple w:instr=" SEQ Preglednica \* ARABIC ">
        <w:r w:rsidR="00DC0028" w:rsidRPr="00A00670">
          <w:rPr>
            <w:noProof/>
          </w:rPr>
          <w:t>5</w:t>
        </w:r>
      </w:fldSimple>
      <w:r w:rsidRPr="00A00670">
        <w:t xml:space="preserve">: Cene </w:t>
      </w:r>
      <w:r w:rsidR="00E055FE" w:rsidRPr="00A00670">
        <w:t xml:space="preserve">in lastnosti prodanih </w:t>
      </w:r>
      <w:r w:rsidRPr="00A00670">
        <w:t>rabljenih stanovanj, Slovenija, letno od 2015 do 2020</w:t>
      </w:r>
    </w:p>
    <w:tbl>
      <w:tblPr>
        <w:tblStyle w:val="Tabelamrea"/>
        <w:tblW w:w="5000" w:type="pct"/>
        <w:tblLook w:val="04A0" w:firstRow="1" w:lastRow="0" w:firstColumn="1" w:lastColumn="0" w:noHBand="0" w:noVBand="1"/>
      </w:tblPr>
      <w:tblGrid>
        <w:gridCol w:w="3104"/>
        <w:gridCol w:w="993"/>
        <w:gridCol w:w="993"/>
        <w:gridCol w:w="993"/>
        <w:gridCol w:w="993"/>
        <w:gridCol w:w="993"/>
        <w:gridCol w:w="993"/>
      </w:tblGrid>
      <w:tr w:rsidR="00F2121E" w:rsidRPr="00A00670" w14:paraId="23090B0D" w14:textId="77777777" w:rsidTr="00203FC5">
        <w:trPr>
          <w:trHeight w:val="315"/>
        </w:trPr>
        <w:tc>
          <w:tcPr>
            <w:tcW w:w="1712" w:type="pct"/>
            <w:shd w:val="clear" w:color="auto" w:fill="DEEAF6" w:themeFill="accent5" w:themeFillTint="33"/>
            <w:noWrap/>
            <w:hideMark/>
          </w:tcPr>
          <w:p w14:paraId="7376816C" w14:textId="56AE0307" w:rsidR="00F2121E" w:rsidRPr="00A00670" w:rsidRDefault="00F2121E" w:rsidP="00A234D5">
            <w:pPr>
              <w:jc w:val="both"/>
              <w:rPr>
                <w:rFonts w:eastAsia="Times New Roman" w:cstheme="minorHAnsi"/>
                <w:b/>
                <w:color w:val="000000"/>
                <w:lang w:eastAsia="sl-SI"/>
              </w:rPr>
            </w:pPr>
            <w:r w:rsidRPr="00A00670">
              <w:rPr>
                <w:rFonts w:eastAsia="Times New Roman" w:cstheme="minorHAnsi"/>
                <w:b/>
                <w:color w:val="000000"/>
                <w:lang w:eastAsia="sl-SI"/>
              </w:rPr>
              <w:t> </w:t>
            </w:r>
            <w:r w:rsidR="00D32DF7" w:rsidRPr="00A00670">
              <w:rPr>
                <w:rFonts w:eastAsia="Times New Roman" w:cstheme="minorHAnsi"/>
                <w:b/>
                <w:color w:val="000000"/>
                <w:lang w:eastAsia="sl-SI"/>
              </w:rPr>
              <w:t>Kazalnik</w:t>
            </w:r>
          </w:p>
        </w:tc>
        <w:tc>
          <w:tcPr>
            <w:tcW w:w="548" w:type="pct"/>
            <w:shd w:val="clear" w:color="auto" w:fill="DEEAF6" w:themeFill="accent5" w:themeFillTint="33"/>
            <w:noWrap/>
            <w:hideMark/>
          </w:tcPr>
          <w:p w14:paraId="245010C9" w14:textId="77777777" w:rsidR="00F2121E" w:rsidRPr="00A00670" w:rsidRDefault="00F2121E" w:rsidP="003A3551">
            <w:pPr>
              <w:jc w:val="center"/>
              <w:rPr>
                <w:rFonts w:eastAsia="Times New Roman" w:cstheme="minorHAnsi"/>
                <w:b/>
                <w:bCs/>
                <w:color w:val="000000"/>
                <w:lang w:eastAsia="sl-SI"/>
              </w:rPr>
            </w:pPr>
            <w:r w:rsidRPr="00A00670">
              <w:rPr>
                <w:rFonts w:eastAsia="Times New Roman" w:cstheme="minorHAnsi"/>
                <w:b/>
                <w:bCs/>
                <w:color w:val="000000"/>
                <w:lang w:eastAsia="sl-SI"/>
              </w:rPr>
              <w:t>2015</w:t>
            </w:r>
          </w:p>
        </w:tc>
        <w:tc>
          <w:tcPr>
            <w:tcW w:w="548" w:type="pct"/>
            <w:shd w:val="clear" w:color="auto" w:fill="DEEAF6" w:themeFill="accent5" w:themeFillTint="33"/>
            <w:noWrap/>
            <w:hideMark/>
          </w:tcPr>
          <w:p w14:paraId="2EA0AEEF" w14:textId="77777777" w:rsidR="00F2121E" w:rsidRPr="00A00670" w:rsidRDefault="00F2121E" w:rsidP="003A3551">
            <w:pPr>
              <w:jc w:val="center"/>
              <w:rPr>
                <w:rFonts w:eastAsia="Times New Roman" w:cstheme="minorHAnsi"/>
                <w:b/>
                <w:bCs/>
                <w:color w:val="000000"/>
                <w:lang w:eastAsia="sl-SI"/>
              </w:rPr>
            </w:pPr>
            <w:r w:rsidRPr="00A00670">
              <w:rPr>
                <w:rFonts w:eastAsia="Times New Roman" w:cstheme="minorHAnsi"/>
                <w:b/>
                <w:bCs/>
                <w:color w:val="000000"/>
                <w:lang w:eastAsia="sl-SI"/>
              </w:rPr>
              <w:t>2016</w:t>
            </w:r>
          </w:p>
        </w:tc>
        <w:tc>
          <w:tcPr>
            <w:tcW w:w="548" w:type="pct"/>
            <w:shd w:val="clear" w:color="auto" w:fill="DEEAF6" w:themeFill="accent5" w:themeFillTint="33"/>
            <w:noWrap/>
            <w:hideMark/>
          </w:tcPr>
          <w:p w14:paraId="6563DE57" w14:textId="77777777" w:rsidR="00F2121E" w:rsidRPr="00A00670" w:rsidRDefault="00F2121E" w:rsidP="003A3551">
            <w:pPr>
              <w:jc w:val="center"/>
              <w:rPr>
                <w:rFonts w:eastAsia="Times New Roman" w:cstheme="minorHAnsi"/>
                <w:b/>
                <w:bCs/>
                <w:color w:val="000000"/>
                <w:lang w:eastAsia="sl-SI"/>
              </w:rPr>
            </w:pPr>
            <w:r w:rsidRPr="00A00670">
              <w:rPr>
                <w:rFonts w:eastAsia="Times New Roman" w:cstheme="minorHAnsi"/>
                <w:b/>
                <w:bCs/>
                <w:color w:val="000000"/>
                <w:lang w:eastAsia="sl-SI"/>
              </w:rPr>
              <w:t>2017</w:t>
            </w:r>
          </w:p>
        </w:tc>
        <w:tc>
          <w:tcPr>
            <w:tcW w:w="548" w:type="pct"/>
            <w:shd w:val="clear" w:color="auto" w:fill="DEEAF6" w:themeFill="accent5" w:themeFillTint="33"/>
            <w:noWrap/>
            <w:hideMark/>
          </w:tcPr>
          <w:p w14:paraId="43558F70" w14:textId="77777777" w:rsidR="00F2121E" w:rsidRPr="00A00670" w:rsidRDefault="00F2121E" w:rsidP="003A3551">
            <w:pPr>
              <w:jc w:val="center"/>
              <w:rPr>
                <w:rFonts w:eastAsia="Times New Roman" w:cstheme="minorHAnsi"/>
                <w:b/>
                <w:bCs/>
                <w:color w:val="000000"/>
                <w:lang w:eastAsia="sl-SI"/>
              </w:rPr>
            </w:pPr>
            <w:r w:rsidRPr="00A00670">
              <w:rPr>
                <w:rFonts w:eastAsia="Times New Roman" w:cstheme="minorHAnsi"/>
                <w:b/>
                <w:bCs/>
                <w:color w:val="000000"/>
                <w:lang w:eastAsia="sl-SI"/>
              </w:rPr>
              <w:t>2018</w:t>
            </w:r>
          </w:p>
        </w:tc>
        <w:tc>
          <w:tcPr>
            <w:tcW w:w="548" w:type="pct"/>
            <w:shd w:val="clear" w:color="auto" w:fill="DEEAF6" w:themeFill="accent5" w:themeFillTint="33"/>
            <w:noWrap/>
            <w:hideMark/>
          </w:tcPr>
          <w:p w14:paraId="446CA1BD" w14:textId="77777777" w:rsidR="00F2121E" w:rsidRPr="00A00670" w:rsidRDefault="00F2121E" w:rsidP="003A3551">
            <w:pPr>
              <w:jc w:val="center"/>
              <w:rPr>
                <w:rFonts w:eastAsia="Times New Roman" w:cstheme="minorHAnsi"/>
                <w:b/>
                <w:bCs/>
                <w:color w:val="000000"/>
                <w:lang w:eastAsia="sl-SI"/>
              </w:rPr>
            </w:pPr>
            <w:r w:rsidRPr="00A00670">
              <w:rPr>
                <w:rFonts w:eastAsia="Times New Roman" w:cstheme="minorHAnsi"/>
                <w:b/>
                <w:bCs/>
                <w:color w:val="000000"/>
                <w:lang w:eastAsia="sl-SI"/>
              </w:rPr>
              <w:t>2019</w:t>
            </w:r>
          </w:p>
        </w:tc>
        <w:tc>
          <w:tcPr>
            <w:tcW w:w="548" w:type="pct"/>
            <w:shd w:val="clear" w:color="auto" w:fill="DEEAF6" w:themeFill="accent5" w:themeFillTint="33"/>
            <w:noWrap/>
            <w:hideMark/>
          </w:tcPr>
          <w:p w14:paraId="1685B8A3" w14:textId="77777777" w:rsidR="00F2121E" w:rsidRPr="00A00670" w:rsidRDefault="00F2121E" w:rsidP="003A3551">
            <w:pPr>
              <w:jc w:val="center"/>
              <w:rPr>
                <w:rFonts w:eastAsia="Times New Roman" w:cstheme="minorHAnsi"/>
                <w:b/>
                <w:bCs/>
                <w:color w:val="000000"/>
                <w:lang w:eastAsia="sl-SI"/>
              </w:rPr>
            </w:pPr>
            <w:r w:rsidRPr="00A00670">
              <w:rPr>
                <w:rFonts w:eastAsia="Times New Roman" w:cstheme="minorHAnsi"/>
                <w:b/>
                <w:bCs/>
                <w:color w:val="000000"/>
                <w:lang w:eastAsia="sl-SI"/>
              </w:rPr>
              <w:t>2020</w:t>
            </w:r>
          </w:p>
        </w:tc>
      </w:tr>
      <w:tr w:rsidR="00203FC5" w:rsidRPr="00A00670" w14:paraId="35C5EEBD" w14:textId="77777777" w:rsidTr="00203FC5">
        <w:trPr>
          <w:trHeight w:val="315"/>
        </w:trPr>
        <w:tc>
          <w:tcPr>
            <w:tcW w:w="1712" w:type="pct"/>
            <w:noWrap/>
            <w:hideMark/>
          </w:tcPr>
          <w:p w14:paraId="2CF9B04A" w14:textId="77777777" w:rsidR="00203FC5" w:rsidRPr="00A00670" w:rsidRDefault="00203FC5" w:rsidP="00203FC5">
            <w:pPr>
              <w:ind w:firstLineChars="100" w:firstLine="220"/>
              <w:rPr>
                <w:rFonts w:eastAsia="Times New Roman" w:cstheme="minorHAnsi"/>
                <w:color w:val="000000"/>
                <w:lang w:eastAsia="sl-SI"/>
              </w:rPr>
            </w:pPr>
            <w:r w:rsidRPr="00A00670">
              <w:rPr>
                <w:rFonts w:eastAsia="Times New Roman" w:cstheme="minorHAnsi"/>
                <w:color w:val="000000"/>
                <w:lang w:eastAsia="sl-SI"/>
              </w:rPr>
              <w:t>Velikost vzorca</w:t>
            </w:r>
          </w:p>
        </w:tc>
        <w:tc>
          <w:tcPr>
            <w:tcW w:w="548" w:type="pct"/>
            <w:noWrap/>
            <w:vAlign w:val="center"/>
            <w:hideMark/>
          </w:tcPr>
          <w:p w14:paraId="01ECD410" w14:textId="551585C3"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5744</w:t>
            </w:r>
          </w:p>
        </w:tc>
        <w:tc>
          <w:tcPr>
            <w:tcW w:w="548" w:type="pct"/>
            <w:noWrap/>
            <w:vAlign w:val="center"/>
            <w:hideMark/>
          </w:tcPr>
          <w:p w14:paraId="759020BB" w14:textId="286AAB42"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6887</w:t>
            </w:r>
          </w:p>
        </w:tc>
        <w:tc>
          <w:tcPr>
            <w:tcW w:w="548" w:type="pct"/>
            <w:noWrap/>
            <w:vAlign w:val="center"/>
            <w:hideMark/>
          </w:tcPr>
          <w:p w14:paraId="3544AB9C" w14:textId="612BEA3D"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7159</w:t>
            </w:r>
          </w:p>
        </w:tc>
        <w:tc>
          <w:tcPr>
            <w:tcW w:w="548" w:type="pct"/>
            <w:noWrap/>
            <w:vAlign w:val="center"/>
            <w:hideMark/>
          </w:tcPr>
          <w:p w14:paraId="26784C07" w14:textId="03A749EB"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6666</w:t>
            </w:r>
          </w:p>
        </w:tc>
        <w:tc>
          <w:tcPr>
            <w:tcW w:w="548" w:type="pct"/>
            <w:noWrap/>
            <w:vAlign w:val="center"/>
            <w:hideMark/>
          </w:tcPr>
          <w:p w14:paraId="70095F8A" w14:textId="6BF3C781"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6806</w:t>
            </w:r>
          </w:p>
        </w:tc>
        <w:tc>
          <w:tcPr>
            <w:tcW w:w="548" w:type="pct"/>
            <w:noWrap/>
            <w:vAlign w:val="center"/>
            <w:hideMark/>
          </w:tcPr>
          <w:p w14:paraId="32A31769" w14:textId="773A43DE"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5492</w:t>
            </w:r>
          </w:p>
        </w:tc>
      </w:tr>
      <w:tr w:rsidR="00203FC5" w:rsidRPr="00A00670" w14:paraId="40D6B3B6" w14:textId="77777777" w:rsidTr="00203FC5">
        <w:trPr>
          <w:trHeight w:val="315"/>
        </w:trPr>
        <w:tc>
          <w:tcPr>
            <w:tcW w:w="1712" w:type="pct"/>
            <w:noWrap/>
            <w:hideMark/>
          </w:tcPr>
          <w:p w14:paraId="0564891A" w14:textId="77777777" w:rsidR="00203FC5" w:rsidRPr="00A00670" w:rsidRDefault="00203FC5" w:rsidP="00203FC5">
            <w:pPr>
              <w:ind w:firstLineChars="100" w:firstLine="221"/>
              <w:rPr>
                <w:rFonts w:eastAsia="Times New Roman" w:cstheme="minorHAnsi"/>
                <w:b/>
                <w:bCs/>
                <w:color w:val="000000"/>
                <w:lang w:eastAsia="sl-SI"/>
              </w:rPr>
            </w:pPr>
            <w:r w:rsidRPr="00A00670">
              <w:rPr>
                <w:rFonts w:eastAsia="Times New Roman" w:cstheme="minorHAnsi"/>
                <w:b/>
                <w:bCs/>
                <w:color w:val="000000"/>
                <w:lang w:eastAsia="sl-SI"/>
              </w:rPr>
              <w:t>Povprečna cena (€/m2)</w:t>
            </w:r>
          </w:p>
        </w:tc>
        <w:tc>
          <w:tcPr>
            <w:tcW w:w="548" w:type="pct"/>
            <w:noWrap/>
            <w:vAlign w:val="center"/>
            <w:hideMark/>
          </w:tcPr>
          <w:p w14:paraId="7CEC6603" w14:textId="76EDBB92" w:rsidR="00203FC5" w:rsidRPr="00A00670" w:rsidRDefault="00203FC5" w:rsidP="00203FC5">
            <w:pPr>
              <w:jc w:val="right"/>
              <w:rPr>
                <w:rFonts w:eastAsia="Times New Roman" w:cstheme="minorHAnsi"/>
                <w:b/>
                <w:bCs/>
                <w:color w:val="000000"/>
                <w:lang w:eastAsia="sl-SI"/>
              </w:rPr>
            </w:pPr>
            <w:r w:rsidRPr="00A00670">
              <w:rPr>
                <w:rFonts w:ascii="Calibri" w:hAnsi="Calibri" w:cs="Calibri"/>
                <w:b/>
                <w:bCs/>
                <w:color w:val="000000"/>
              </w:rPr>
              <w:t>1.450</w:t>
            </w:r>
          </w:p>
        </w:tc>
        <w:tc>
          <w:tcPr>
            <w:tcW w:w="548" w:type="pct"/>
            <w:noWrap/>
            <w:vAlign w:val="center"/>
            <w:hideMark/>
          </w:tcPr>
          <w:p w14:paraId="14126A71" w14:textId="0BC7D8E5" w:rsidR="00203FC5" w:rsidRPr="00A00670" w:rsidRDefault="00203FC5" w:rsidP="00203FC5">
            <w:pPr>
              <w:jc w:val="right"/>
              <w:rPr>
                <w:rFonts w:eastAsia="Times New Roman" w:cstheme="minorHAnsi"/>
                <w:b/>
                <w:bCs/>
                <w:color w:val="000000"/>
                <w:lang w:eastAsia="sl-SI"/>
              </w:rPr>
            </w:pPr>
            <w:r w:rsidRPr="00A00670">
              <w:rPr>
                <w:rFonts w:ascii="Calibri" w:hAnsi="Calibri" w:cs="Calibri"/>
                <w:b/>
                <w:bCs/>
                <w:color w:val="000000"/>
              </w:rPr>
              <w:t>1.510</w:t>
            </w:r>
          </w:p>
        </w:tc>
        <w:tc>
          <w:tcPr>
            <w:tcW w:w="548" w:type="pct"/>
            <w:noWrap/>
            <w:vAlign w:val="center"/>
            <w:hideMark/>
          </w:tcPr>
          <w:p w14:paraId="218A3384" w14:textId="66E32CEC" w:rsidR="00203FC5" w:rsidRPr="00A00670" w:rsidRDefault="00203FC5" w:rsidP="00203FC5">
            <w:pPr>
              <w:jc w:val="right"/>
              <w:rPr>
                <w:rFonts w:eastAsia="Times New Roman" w:cstheme="minorHAnsi"/>
                <w:b/>
                <w:bCs/>
                <w:color w:val="000000"/>
                <w:lang w:eastAsia="sl-SI"/>
              </w:rPr>
            </w:pPr>
            <w:r w:rsidRPr="00A00670">
              <w:rPr>
                <w:rFonts w:ascii="Calibri" w:hAnsi="Calibri" w:cs="Calibri"/>
                <w:b/>
                <w:bCs/>
                <w:color w:val="000000"/>
              </w:rPr>
              <w:t>1.610</w:t>
            </w:r>
          </w:p>
        </w:tc>
        <w:tc>
          <w:tcPr>
            <w:tcW w:w="548" w:type="pct"/>
            <w:noWrap/>
            <w:vAlign w:val="center"/>
            <w:hideMark/>
          </w:tcPr>
          <w:p w14:paraId="4DE706D9" w14:textId="7ADD9B37" w:rsidR="00203FC5" w:rsidRPr="00A00670" w:rsidRDefault="00203FC5" w:rsidP="00203FC5">
            <w:pPr>
              <w:jc w:val="right"/>
              <w:rPr>
                <w:rFonts w:eastAsia="Times New Roman" w:cstheme="minorHAnsi"/>
                <w:b/>
                <w:bCs/>
                <w:color w:val="000000"/>
                <w:lang w:eastAsia="sl-SI"/>
              </w:rPr>
            </w:pPr>
            <w:r w:rsidRPr="00A00670">
              <w:rPr>
                <w:rFonts w:ascii="Calibri" w:hAnsi="Calibri" w:cs="Calibri"/>
                <w:b/>
                <w:bCs/>
                <w:color w:val="000000"/>
              </w:rPr>
              <w:t>1.760</w:t>
            </w:r>
          </w:p>
        </w:tc>
        <w:tc>
          <w:tcPr>
            <w:tcW w:w="548" w:type="pct"/>
            <w:noWrap/>
            <w:vAlign w:val="center"/>
            <w:hideMark/>
          </w:tcPr>
          <w:p w14:paraId="32FEA001" w14:textId="4DD25F69" w:rsidR="00203FC5" w:rsidRPr="00A00670" w:rsidRDefault="00203FC5" w:rsidP="00203FC5">
            <w:pPr>
              <w:jc w:val="right"/>
              <w:rPr>
                <w:rFonts w:eastAsia="Times New Roman" w:cstheme="minorHAnsi"/>
                <w:b/>
                <w:bCs/>
                <w:color w:val="000000"/>
                <w:lang w:eastAsia="sl-SI"/>
              </w:rPr>
            </w:pPr>
            <w:r w:rsidRPr="00A00670">
              <w:rPr>
                <w:rFonts w:ascii="Calibri" w:hAnsi="Calibri" w:cs="Calibri"/>
                <w:b/>
                <w:bCs/>
                <w:color w:val="000000"/>
              </w:rPr>
              <w:t>1.840</w:t>
            </w:r>
          </w:p>
        </w:tc>
        <w:tc>
          <w:tcPr>
            <w:tcW w:w="548" w:type="pct"/>
            <w:noWrap/>
            <w:vAlign w:val="center"/>
            <w:hideMark/>
          </w:tcPr>
          <w:p w14:paraId="6D4D12CA" w14:textId="7D0DF835" w:rsidR="00203FC5" w:rsidRPr="00A00670" w:rsidRDefault="00203FC5" w:rsidP="00203FC5">
            <w:pPr>
              <w:jc w:val="right"/>
              <w:rPr>
                <w:rFonts w:eastAsia="Times New Roman" w:cstheme="minorHAnsi"/>
                <w:b/>
                <w:bCs/>
                <w:color w:val="000000"/>
                <w:lang w:eastAsia="sl-SI"/>
              </w:rPr>
            </w:pPr>
            <w:r w:rsidRPr="00A00670">
              <w:rPr>
                <w:rFonts w:ascii="Calibri" w:hAnsi="Calibri" w:cs="Calibri"/>
                <w:b/>
                <w:bCs/>
                <w:color w:val="000000"/>
              </w:rPr>
              <w:t>1.930</w:t>
            </w:r>
          </w:p>
        </w:tc>
      </w:tr>
      <w:tr w:rsidR="00203FC5" w:rsidRPr="00A00670" w14:paraId="2D81A1E4" w14:textId="77777777" w:rsidTr="00203FC5">
        <w:trPr>
          <w:trHeight w:val="300"/>
        </w:trPr>
        <w:tc>
          <w:tcPr>
            <w:tcW w:w="1712" w:type="pct"/>
            <w:noWrap/>
            <w:hideMark/>
          </w:tcPr>
          <w:p w14:paraId="07B92F5A" w14:textId="77777777" w:rsidR="00203FC5" w:rsidRPr="00A00670" w:rsidRDefault="00203FC5" w:rsidP="00203FC5">
            <w:pPr>
              <w:ind w:firstLineChars="100" w:firstLine="220"/>
              <w:rPr>
                <w:rFonts w:eastAsia="Times New Roman" w:cstheme="minorHAnsi"/>
                <w:color w:val="000000"/>
                <w:lang w:eastAsia="sl-SI"/>
              </w:rPr>
            </w:pPr>
            <w:r w:rsidRPr="00A00670">
              <w:rPr>
                <w:rFonts w:eastAsia="Times New Roman" w:cstheme="minorHAnsi"/>
                <w:color w:val="000000"/>
                <w:lang w:eastAsia="sl-SI"/>
              </w:rPr>
              <w:t>Leto izgradnje (mediana)</w:t>
            </w:r>
          </w:p>
        </w:tc>
        <w:tc>
          <w:tcPr>
            <w:tcW w:w="548" w:type="pct"/>
            <w:noWrap/>
            <w:vAlign w:val="center"/>
            <w:hideMark/>
          </w:tcPr>
          <w:p w14:paraId="665A4830" w14:textId="163EF74A"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1975</w:t>
            </w:r>
          </w:p>
        </w:tc>
        <w:tc>
          <w:tcPr>
            <w:tcW w:w="548" w:type="pct"/>
            <w:noWrap/>
            <w:vAlign w:val="center"/>
            <w:hideMark/>
          </w:tcPr>
          <w:p w14:paraId="309057FE" w14:textId="3A06EF41"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1975</w:t>
            </w:r>
          </w:p>
        </w:tc>
        <w:tc>
          <w:tcPr>
            <w:tcW w:w="548" w:type="pct"/>
            <w:noWrap/>
            <w:vAlign w:val="center"/>
            <w:hideMark/>
          </w:tcPr>
          <w:p w14:paraId="2C8C7D19" w14:textId="4BD2939D"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1975</w:t>
            </w:r>
          </w:p>
        </w:tc>
        <w:tc>
          <w:tcPr>
            <w:tcW w:w="548" w:type="pct"/>
            <w:noWrap/>
            <w:vAlign w:val="center"/>
            <w:hideMark/>
          </w:tcPr>
          <w:p w14:paraId="24A7E90C" w14:textId="0A704351"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1975</w:t>
            </w:r>
          </w:p>
        </w:tc>
        <w:tc>
          <w:tcPr>
            <w:tcW w:w="548" w:type="pct"/>
            <w:noWrap/>
            <w:vAlign w:val="center"/>
            <w:hideMark/>
          </w:tcPr>
          <w:p w14:paraId="58A43757" w14:textId="33FF23CE"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1975</w:t>
            </w:r>
          </w:p>
        </w:tc>
        <w:tc>
          <w:tcPr>
            <w:tcW w:w="548" w:type="pct"/>
            <w:noWrap/>
            <w:vAlign w:val="center"/>
            <w:hideMark/>
          </w:tcPr>
          <w:p w14:paraId="2EEBF779" w14:textId="4496309D"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1975</w:t>
            </w:r>
          </w:p>
        </w:tc>
      </w:tr>
      <w:tr w:rsidR="00203FC5" w:rsidRPr="00A00670" w14:paraId="32886921" w14:textId="77777777" w:rsidTr="00203FC5">
        <w:trPr>
          <w:trHeight w:val="315"/>
        </w:trPr>
        <w:tc>
          <w:tcPr>
            <w:tcW w:w="1712" w:type="pct"/>
            <w:noWrap/>
            <w:hideMark/>
          </w:tcPr>
          <w:p w14:paraId="612C85DD" w14:textId="77777777" w:rsidR="00203FC5" w:rsidRPr="00A00670" w:rsidRDefault="00203FC5" w:rsidP="00203FC5">
            <w:pPr>
              <w:ind w:firstLineChars="100" w:firstLine="220"/>
              <w:rPr>
                <w:rFonts w:eastAsia="Times New Roman" w:cstheme="minorHAnsi"/>
                <w:color w:val="000000"/>
                <w:lang w:eastAsia="sl-SI"/>
              </w:rPr>
            </w:pPr>
            <w:r w:rsidRPr="00A00670">
              <w:rPr>
                <w:rFonts w:eastAsia="Times New Roman" w:cstheme="minorHAnsi"/>
                <w:color w:val="000000"/>
                <w:lang w:eastAsia="sl-SI"/>
              </w:rPr>
              <w:t>Uporabna površina (m2)</w:t>
            </w:r>
          </w:p>
        </w:tc>
        <w:tc>
          <w:tcPr>
            <w:tcW w:w="548" w:type="pct"/>
            <w:noWrap/>
            <w:vAlign w:val="center"/>
            <w:hideMark/>
          </w:tcPr>
          <w:p w14:paraId="0418478E" w14:textId="6A5CC365"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52</w:t>
            </w:r>
          </w:p>
        </w:tc>
        <w:tc>
          <w:tcPr>
            <w:tcW w:w="548" w:type="pct"/>
            <w:noWrap/>
            <w:vAlign w:val="center"/>
            <w:hideMark/>
          </w:tcPr>
          <w:p w14:paraId="327DC504" w14:textId="1D313883"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53</w:t>
            </w:r>
          </w:p>
        </w:tc>
        <w:tc>
          <w:tcPr>
            <w:tcW w:w="548" w:type="pct"/>
            <w:noWrap/>
            <w:vAlign w:val="center"/>
            <w:hideMark/>
          </w:tcPr>
          <w:p w14:paraId="1DFBE74C" w14:textId="4F6E740F"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52</w:t>
            </w:r>
          </w:p>
        </w:tc>
        <w:tc>
          <w:tcPr>
            <w:tcW w:w="548" w:type="pct"/>
            <w:noWrap/>
            <w:vAlign w:val="center"/>
            <w:hideMark/>
          </w:tcPr>
          <w:p w14:paraId="63E514F7" w14:textId="232E2B7A"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53</w:t>
            </w:r>
          </w:p>
        </w:tc>
        <w:tc>
          <w:tcPr>
            <w:tcW w:w="548" w:type="pct"/>
            <w:noWrap/>
            <w:vAlign w:val="center"/>
            <w:hideMark/>
          </w:tcPr>
          <w:p w14:paraId="66623712" w14:textId="5E13F793"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53</w:t>
            </w:r>
          </w:p>
        </w:tc>
        <w:tc>
          <w:tcPr>
            <w:tcW w:w="548" w:type="pct"/>
            <w:noWrap/>
            <w:vAlign w:val="center"/>
            <w:hideMark/>
          </w:tcPr>
          <w:p w14:paraId="60E7AA98" w14:textId="0A04531E" w:rsidR="00203FC5" w:rsidRPr="00A00670" w:rsidRDefault="00203FC5" w:rsidP="00203FC5">
            <w:pPr>
              <w:jc w:val="right"/>
              <w:rPr>
                <w:rFonts w:eastAsia="Times New Roman" w:cstheme="minorHAnsi"/>
                <w:color w:val="000000"/>
                <w:lang w:eastAsia="sl-SI"/>
              </w:rPr>
            </w:pPr>
            <w:r w:rsidRPr="00A00670">
              <w:rPr>
                <w:rFonts w:ascii="Calibri" w:hAnsi="Calibri" w:cs="Calibri"/>
                <w:color w:val="000000"/>
              </w:rPr>
              <w:t>54</w:t>
            </w:r>
          </w:p>
        </w:tc>
      </w:tr>
    </w:tbl>
    <w:p w14:paraId="3635DDA6" w14:textId="59735DC9" w:rsidR="0055777F" w:rsidRPr="00A00670" w:rsidRDefault="0055777F" w:rsidP="00A234D5">
      <w:pPr>
        <w:pStyle w:val="janopombe"/>
        <w:ind w:left="284" w:hanging="284"/>
        <w:jc w:val="both"/>
        <w:rPr>
          <w:sz w:val="20"/>
          <w:szCs w:val="20"/>
        </w:rPr>
      </w:pPr>
      <w:r w:rsidRPr="00A00670">
        <w:rPr>
          <w:sz w:val="20"/>
          <w:szCs w:val="20"/>
        </w:rPr>
        <w:t>Opomb</w:t>
      </w:r>
      <w:r w:rsidR="00516CF3" w:rsidRPr="00A00670">
        <w:rPr>
          <w:sz w:val="20"/>
          <w:szCs w:val="20"/>
        </w:rPr>
        <w:t>a</w:t>
      </w:r>
      <w:r w:rsidRPr="00A00670">
        <w:rPr>
          <w:sz w:val="20"/>
          <w:szCs w:val="20"/>
        </w:rPr>
        <w:t>:</w:t>
      </w:r>
    </w:p>
    <w:p w14:paraId="4B84E7CB" w14:textId="14944EC5" w:rsidR="00516CF3" w:rsidRPr="00A00670" w:rsidRDefault="00795B3A" w:rsidP="00A234D5">
      <w:pPr>
        <w:pStyle w:val="janopombe"/>
        <w:numPr>
          <w:ilvl w:val="0"/>
          <w:numId w:val="1"/>
        </w:numPr>
        <w:jc w:val="both"/>
        <w:rPr>
          <w:sz w:val="20"/>
          <w:szCs w:val="20"/>
        </w:rPr>
      </w:pPr>
      <w:r w:rsidRPr="00A00670">
        <w:rPr>
          <w:sz w:val="20"/>
          <w:szCs w:val="20"/>
        </w:rPr>
        <w:t>u</w:t>
      </w:r>
      <w:r w:rsidR="0055777F" w:rsidRPr="00A00670">
        <w:rPr>
          <w:sz w:val="20"/>
          <w:szCs w:val="20"/>
        </w:rPr>
        <w:t>poštevana so rabljena stanovanja, prodana na prostem trgu in prostovoljnih javnih dražbah</w:t>
      </w:r>
      <w:r w:rsidR="00516CF3" w:rsidRPr="00A00670">
        <w:rPr>
          <w:sz w:val="20"/>
          <w:szCs w:val="20"/>
        </w:rPr>
        <w:t>,</w:t>
      </w:r>
    </w:p>
    <w:p w14:paraId="44BD4351" w14:textId="173D469B" w:rsidR="0055777F" w:rsidRPr="00A00670" w:rsidRDefault="00516CF3" w:rsidP="00A234D5">
      <w:pPr>
        <w:pStyle w:val="janopombe"/>
        <w:numPr>
          <w:ilvl w:val="0"/>
          <w:numId w:val="1"/>
        </w:numPr>
        <w:jc w:val="both"/>
        <w:rPr>
          <w:sz w:val="20"/>
          <w:szCs w:val="20"/>
        </w:rPr>
      </w:pPr>
      <w:r w:rsidRPr="00A00670">
        <w:rPr>
          <w:sz w:val="20"/>
          <w:szCs w:val="20"/>
        </w:rPr>
        <w:t>p</w:t>
      </w:r>
      <w:r w:rsidR="0055777F" w:rsidRPr="00A00670">
        <w:rPr>
          <w:sz w:val="20"/>
          <w:szCs w:val="20"/>
        </w:rPr>
        <w:t>ovprečne cene so izračunane na kvadratni meter uporabne površine stanovanja in so zaokrožene na 10 evro</w:t>
      </w:r>
      <w:r w:rsidR="00034585" w:rsidRPr="00A00670">
        <w:rPr>
          <w:sz w:val="20"/>
          <w:szCs w:val="20"/>
        </w:rPr>
        <w:t>v</w:t>
      </w:r>
      <w:r w:rsidRPr="00A00670">
        <w:rPr>
          <w:sz w:val="20"/>
          <w:szCs w:val="20"/>
        </w:rPr>
        <w:t>,</w:t>
      </w:r>
    </w:p>
    <w:p w14:paraId="2BCC5BD6" w14:textId="3866CF3D" w:rsidR="0055777F" w:rsidRPr="00A00670" w:rsidRDefault="00516CF3" w:rsidP="00A234D5">
      <w:pPr>
        <w:pStyle w:val="janopombe"/>
        <w:numPr>
          <w:ilvl w:val="0"/>
          <w:numId w:val="1"/>
        </w:numPr>
        <w:jc w:val="both"/>
        <w:rPr>
          <w:sz w:val="20"/>
          <w:szCs w:val="20"/>
        </w:rPr>
      </w:pPr>
      <w:r w:rsidRPr="00A00670">
        <w:rPr>
          <w:sz w:val="20"/>
          <w:szCs w:val="20"/>
        </w:rPr>
        <w:t>z</w:t>
      </w:r>
      <w:r w:rsidR="0055777F" w:rsidRPr="00A00670">
        <w:rPr>
          <w:sz w:val="20"/>
          <w:szCs w:val="20"/>
        </w:rPr>
        <w:t>a stanovanja, ki so prodana skupaj z garažo oziroma parkirnim mestom, je od skupne cene odšteta vrednost garaž in parkirnih mest, ki je ocenjena z metodami množičnega vrednotenja nepremičnin.</w:t>
      </w:r>
    </w:p>
    <w:p w14:paraId="47FCB139" w14:textId="0A71B5AD" w:rsidR="00F2121E" w:rsidRPr="00A00670" w:rsidRDefault="00F2121E" w:rsidP="0053472E">
      <w:pPr>
        <w:pStyle w:val="Brezrazmikov"/>
      </w:pPr>
    </w:p>
    <w:p w14:paraId="713D6D53" w14:textId="021CA8C0" w:rsidR="001D71DC" w:rsidRPr="00A00670" w:rsidRDefault="00F26A5D" w:rsidP="00A234D5">
      <w:pPr>
        <w:jc w:val="both"/>
      </w:pPr>
      <w:r w:rsidRPr="00A00670">
        <w:lastRenderedPageBreak/>
        <w:t>Lani se je p</w:t>
      </w:r>
      <w:r w:rsidR="00B42C04" w:rsidRPr="00A00670">
        <w:t xml:space="preserve">o </w:t>
      </w:r>
      <w:r w:rsidR="006612CD" w:rsidRPr="00A00670">
        <w:t>preliminarnih</w:t>
      </w:r>
      <w:r w:rsidR="00B42C04" w:rsidRPr="00A00670">
        <w:t xml:space="preserve"> podatkih povprečna cena rabljenega stanovanja v Sloveniji v prim</w:t>
      </w:r>
      <w:r w:rsidRPr="00A00670">
        <w:t>erjavi z letom 2019 zvišala za 5</w:t>
      </w:r>
      <w:r w:rsidR="00B42C04" w:rsidRPr="00A00670">
        <w:t xml:space="preserve"> odstotk</w:t>
      </w:r>
      <w:r w:rsidRPr="00A00670">
        <w:t>ov</w:t>
      </w:r>
      <w:r w:rsidR="00B42C04" w:rsidRPr="00A00670">
        <w:t>. V primerjavi z letom 2015, ko je bilo po krizi nepremičninskega trga leta 2008</w:t>
      </w:r>
      <w:r w:rsidR="006612CD" w:rsidRPr="00A00670">
        <w:t xml:space="preserve"> doseženo cenovno dno</w:t>
      </w:r>
      <w:r w:rsidR="002D28C9" w:rsidRPr="00A00670">
        <w:t xml:space="preserve">, je bila že za tretjino višja in je </w:t>
      </w:r>
      <w:r w:rsidRPr="00A00670">
        <w:t xml:space="preserve">na ravni države </w:t>
      </w:r>
      <w:r w:rsidR="002D28C9" w:rsidRPr="00A00670">
        <w:t>prvič presegla mejo 1.900 €/m</w:t>
      </w:r>
      <w:r w:rsidR="002D28C9" w:rsidRPr="00A00670">
        <w:rPr>
          <w:vertAlign w:val="superscript"/>
        </w:rPr>
        <w:t>2</w:t>
      </w:r>
      <w:r w:rsidR="002D28C9" w:rsidRPr="00A00670">
        <w:t>.</w:t>
      </w:r>
      <w:r w:rsidR="009816DB" w:rsidRPr="00A00670">
        <w:t xml:space="preserve">  </w:t>
      </w:r>
    </w:p>
    <w:p w14:paraId="2E0204A6" w14:textId="34ACBA5D" w:rsidR="00BD2536" w:rsidRPr="00A00670" w:rsidRDefault="00BD2536" w:rsidP="00FF6D0B">
      <w:pPr>
        <w:pStyle w:val="Brezrazmikov"/>
      </w:pPr>
    </w:p>
    <w:p w14:paraId="4427A568" w14:textId="7D38E6BB" w:rsidR="00F2121E" w:rsidRPr="00A00670" w:rsidRDefault="00F2121E" w:rsidP="00465D98">
      <w:r w:rsidRPr="00A00670">
        <w:t xml:space="preserve">Slika </w:t>
      </w:r>
      <w:fldSimple w:instr=" SEQ Slika \* ARABIC ">
        <w:r w:rsidR="00DC0028" w:rsidRPr="00A00670">
          <w:rPr>
            <w:noProof/>
          </w:rPr>
          <w:t>6</w:t>
        </w:r>
      </w:fldSimple>
      <w:r w:rsidRPr="00A00670">
        <w:t>: Povprečne cene rabljenih stanovanj (v €/m2), Slovenija, letno od 2015 do 2020</w:t>
      </w:r>
    </w:p>
    <w:p w14:paraId="0DF93C60" w14:textId="3B417941" w:rsidR="00BD2536" w:rsidRPr="00A00670" w:rsidRDefault="00902DAF" w:rsidP="00A234D5">
      <w:pPr>
        <w:pStyle w:val="NAPISp"/>
        <w:jc w:val="both"/>
      </w:pPr>
      <w:r w:rsidRPr="00A00670">
        <w:rPr>
          <w:noProof/>
          <w:lang w:eastAsia="sl-SI"/>
        </w:rPr>
        <w:drawing>
          <wp:inline distT="0" distB="0" distL="0" distR="0" wp14:anchorId="59D59392" wp14:editId="438336E2">
            <wp:extent cx="5287925" cy="3282950"/>
            <wp:effectExtent l="0" t="0" r="8255" b="0"/>
            <wp:docPr id="11" name="Slika 11" descr="Grafični prikaz gibanja cen stanovanj od leta 2015 do 2020, na osnovi podatkov iz preglednic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Grafični prikaz gibanja cen stanovanj od leta 2015 do 2020, na osnovi podatkov iz preglednic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00493" cy="3290752"/>
                    </a:xfrm>
                    <a:prstGeom prst="rect">
                      <a:avLst/>
                    </a:prstGeom>
                  </pic:spPr>
                </pic:pic>
              </a:graphicData>
            </a:graphic>
          </wp:inline>
        </w:drawing>
      </w:r>
    </w:p>
    <w:p w14:paraId="5FCE5992" w14:textId="77777777" w:rsidR="00205E29" w:rsidRPr="00A00670" w:rsidRDefault="00205E29" w:rsidP="00205E29">
      <w:pPr>
        <w:jc w:val="both"/>
      </w:pPr>
    </w:p>
    <w:p w14:paraId="29AE7DD3" w14:textId="10F39639" w:rsidR="00205E29" w:rsidRPr="00A00670" w:rsidRDefault="00205E29" w:rsidP="00205E29">
      <w:pPr>
        <w:jc w:val="both"/>
      </w:pPr>
      <w:r w:rsidRPr="00A00670">
        <w:t xml:space="preserve">V Sloveniji so cene stanovanj od leta 2015 konstantno rasle, s tem da je bila rast cen najvišja leta 2018. Lansko leto je bila skupna rast cen stanovanj zelo podobna kot leta 2019. Cene so na ravni države najbolj zrasle pred nastopom epidemiološke krize, v drugem četrtletju, ki ga je zaznamoval prvi val epidemije, in v tretjem četrtletju so praktično stagnirale, v zadnjem četrtletju oziroma v drugem valu epidemije pa so ponovno začele kazati šibak trend zmerne rasti. </w:t>
      </w:r>
      <w:r w:rsidR="00242782" w:rsidRPr="00A00670">
        <w:t>Kot kaže e</w:t>
      </w:r>
      <w:r w:rsidRPr="00A00670">
        <w:t xml:space="preserve">pidemija lani ni imela bistvenega vpliva na cene stanovanj, verjetno pa je bila rast cen </w:t>
      </w:r>
      <w:r w:rsidR="00A322BE" w:rsidRPr="00A00670">
        <w:t>vendar</w:t>
      </w:r>
      <w:r w:rsidRPr="00A00670">
        <w:t xml:space="preserve">le nekoliko manjša kot bi bila sicer.  </w:t>
      </w:r>
    </w:p>
    <w:p w14:paraId="772B0D7C" w14:textId="6D4830F2" w:rsidR="00465D98" w:rsidRPr="00A00670" w:rsidRDefault="00465D98"/>
    <w:p w14:paraId="058AADFA" w14:textId="77777777" w:rsidR="00FF6D0B" w:rsidRPr="00A00670" w:rsidRDefault="00FF6D0B"/>
    <w:p w14:paraId="543B04B8" w14:textId="52E6927B" w:rsidR="00902DAF" w:rsidRPr="00A00670" w:rsidRDefault="00902DAF">
      <w:pPr>
        <w:rPr>
          <w:i/>
          <w:iCs/>
          <w:sz w:val="24"/>
          <w:szCs w:val="18"/>
        </w:rPr>
      </w:pPr>
      <w:r w:rsidRPr="00A00670">
        <w:br w:type="page"/>
      </w:r>
    </w:p>
    <w:p w14:paraId="65C15B0F" w14:textId="5459E705" w:rsidR="0055777F" w:rsidRPr="00A00670" w:rsidRDefault="0055777F" w:rsidP="00A234D5">
      <w:pPr>
        <w:pStyle w:val="NAPISp"/>
        <w:jc w:val="both"/>
      </w:pPr>
      <w:r w:rsidRPr="00A00670">
        <w:lastRenderedPageBreak/>
        <w:t xml:space="preserve">Preglednica </w:t>
      </w:r>
      <w:fldSimple w:instr=" SEQ Preglednica \* ARABIC ">
        <w:r w:rsidR="00DC0028" w:rsidRPr="00A00670">
          <w:rPr>
            <w:noProof/>
          </w:rPr>
          <w:t>6</w:t>
        </w:r>
      </w:fldSimple>
      <w:r w:rsidRPr="00A00670">
        <w:t xml:space="preserve">: Cene in lastnosti </w:t>
      </w:r>
      <w:r w:rsidR="00E055FE" w:rsidRPr="00A00670">
        <w:t xml:space="preserve">prodanih </w:t>
      </w:r>
      <w:r w:rsidRPr="00A00670">
        <w:t>rabljenih stanovanj, izbrana analitična območja, Slovenija, letno od 2015 do 2020</w:t>
      </w:r>
    </w:p>
    <w:tbl>
      <w:tblPr>
        <w:tblStyle w:val="Tabelamrea"/>
        <w:tblW w:w="8740" w:type="dxa"/>
        <w:tblLook w:val="04A0" w:firstRow="1" w:lastRow="0" w:firstColumn="1" w:lastColumn="0" w:noHBand="0" w:noVBand="1"/>
      </w:tblPr>
      <w:tblGrid>
        <w:gridCol w:w="2740"/>
        <w:gridCol w:w="1000"/>
        <w:gridCol w:w="1000"/>
        <w:gridCol w:w="1000"/>
        <w:gridCol w:w="1000"/>
        <w:gridCol w:w="1000"/>
        <w:gridCol w:w="1000"/>
      </w:tblGrid>
      <w:tr w:rsidR="00C712E6" w:rsidRPr="00A00670" w14:paraId="5B19EADD" w14:textId="77777777" w:rsidTr="00C712E6">
        <w:trPr>
          <w:trHeight w:val="300"/>
        </w:trPr>
        <w:tc>
          <w:tcPr>
            <w:tcW w:w="2740" w:type="dxa"/>
            <w:shd w:val="clear" w:color="auto" w:fill="DEEAF6" w:themeFill="accent5" w:themeFillTint="33"/>
            <w:noWrap/>
            <w:hideMark/>
          </w:tcPr>
          <w:p w14:paraId="45CF3B8B" w14:textId="77777777" w:rsidR="00C712E6" w:rsidRPr="00A00670" w:rsidRDefault="0055777F" w:rsidP="00A234D5">
            <w:pPr>
              <w:jc w:val="both"/>
              <w:rPr>
                <w:rFonts w:ascii="Calibri" w:eastAsia="Times New Roman" w:hAnsi="Calibri" w:cs="Calibri"/>
                <w:b/>
                <w:bCs/>
                <w:color w:val="000000"/>
                <w:lang w:eastAsia="sl-SI"/>
              </w:rPr>
            </w:pPr>
            <w:r w:rsidRPr="00A00670">
              <w:t xml:space="preserve"> </w:t>
            </w:r>
            <w:r w:rsidR="00C712E6" w:rsidRPr="00A00670">
              <w:rPr>
                <w:rFonts w:ascii="Calibri" w:eastAsia="Times New Roman" w:hAnsi="Calibri" w:cs="Calibri"/>
                <w:b/>
                <w:bCs/>
                <w:color w:val="000000"/>
                <w:lang w:eastAsia="sl-SI"/>
              </w:rPr>
              <w:t>Analitično območje</w:t>
            </w:r>
          </w:p>
        </w:tc>
        <w:tc>
          <w:tcPr>
            <w:tcW w:w="1000" w:type="dxa"/>
            <w:shd w:val="clear" w:color="auto" w:fill="DEEAF6" w:themeFill="accent5" w:themeFillTint="33"/>
            <w:noWrap/>
            <w:hideMark/>
          </w:tcPr>
          <w:p w14:paraId="3A2C2F52" w14:textId="77777777" w:rsidR="00C712E6" w:rsidRPr="00A00670" w:rsidRDefault="00C712E6" w:rsidP="00D32DF7">
            <w:pPr>
              <w:jc w:val="right"/>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2015</w:t>
            </w:r>
          </w:p>
        </w:tc>
        <w:tc>
          <w:tcPr>
            <w:tcW w:w="1000" w:type="dxa"/>
            <w:shd w:val="clear" w:color="auto" w:fill="DEEAF6" w:themeFill="accent5" w:themeFillTint="33"/>
            <w:noWrap/>
            <w:hideMark/>
          </w:tcPr>
          <w:p w14:paraId="4C201EE0" w14:textId="77777777" w:rsidR="00C712E6" w:rsidRPr="00A00670" w:rsidRDefault="00C712E6" w:rsidP="00D32DF7">
            <w:pPr>
              <w:jc w:val="right"/>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2016</w:t>
            </w:r>
          </w:p>
        </w:tc>
        <w:tc>
          <w:tcPr>
            <w:tcW w:w="1000" w:type="dxa"/>
            <w:shd w:val="clear" w:color="auto" w:fill="DEEAF6" w:themeFill="accent5" w:themeFillTint="33"/>
            <w:noWrap/>
            <w:hideMark/>
          </w:tcPr>
          <w:p w14:paraId="074D5929" w14:textId="77777777" w:rsidR="00C712E6" w:rsidRPr="00A00670" w:rsidRDefault="00C712E6" w:rsidP="00D32DF7">
            <w:pPr>
              <w:jc w:val="right"/>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2017</w:t>
            </w:r>
          </w:p>
        </w:tc>
        <w:tc>
          <w:tcPr>
            <w:tcW w:w="1000" w:type="dxa"/>
            <w:shd w:val="clear" w:color="auto" w:fill="DEEAF6" w:themeFill="accent5" w:themeFillTint="33"/>
            <w:noWrap/>
            <w:hideMark/>
          </w:tcPr>
          <w:p w14:paraId="3D622EF2" w14:textId="77777777" w:rsidR="00C712E6" w:rsidRPr="00A00670" w:rsidRDefault="00C712E6" w:rsidP="00D32DF7">
            <w:pPr>
              <w:jc w:val="right"/>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2018</w:t>
            </w:r>
          </w:p>
        </w:tc>
        <w:tc>
          <w:tcPr>
            <w:tcW w:w="1000" w:type="dxa"/>
            <w:shd w:val="clear" w:color="auto" w:fill="DEEAF6" w:themeFill="accent5" w:themeFillTint="33"/>
            <w:noWrap/>
            <w:hideMark/>
          </w:tcPr>
          <w:p w14:paraId="7AAFC477" w14:textId="77777777" w:rsidR="00C712E6" w:rsidRPr="00A00670" w:rsidRDefault="00C712E6" w:rsidP="00D32DF7">
            <w:pPr>
              <w:jc w:val="right"/>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2019</w:t>
            </w:r>
          </w:p>
        </w:tc>
        <w:tc>
          <w:tcPr>
            <w:tcW w:w="1000" w:type="dxa"/>
            <w:shd w:val="clear" w:color="auto" w:fill="DEEAF6" w:themeFill="accent5" w:themeFillTint="33"/>
            <w:noWrap/>
            <w:hideMark/>
          </w:tcPr>
          <w:p w14:paraId="4410FF2B" w14:textId="77777777" w:rsidR="00C712E6" w:rsidRPr="00A00670" w:rsidRDefault="00C712E6" w:rsidP="00D32DF7">
            <w:pPr>
              <w:jc w:val="right"/>
              <w:rPr>
                <w:rFonts w:ascii="Calibri" w:eastAsia="Times New Roman" w:hAnsi="Calibri" w:cs="Calibri"/>
                <w:b/>
                <w:bCs/>
                <w:color w:val="000000"/>
                <w:lang w:eastAsia="sl-SI"/>
              </w:rPr>
            </w:pPr>
            <w:r w:rsidRPr="00A00670">
              <w:rPr>
                <w:rFonts w:ascii="Calibri" w:eastAsia="Times New Roman" w:hAnsi="Calibri" w:cs="Calibri"/>
                <w:b/>
                <w:bCs/>
                <w:color w:val="000000"/>
                <w:lang w:eastAsia="sl-SI"/>
              </w:rPr>
              <w:t>2020</w:t>
            </w:r>
          </w:p>
        </w:tc>
      </w:tr>
      <w:tr w:rsidR="00551249" w:rsidRPr="00A00670" w14:paraId="3A283657" w14:textId="77777777" w:rsidTr="00A6521F">
        <w:trPr>
          <w:trHeight w:val="300"/>
        </w:trPr>
        <w:tc>
          <w:tcPr>
            <w:tcW w:w="2740" w:type="dxa"/>
            <w:noWrap/>
            <w:vAlign w:val="center"/>
            <w:hideMark/>
          </w:tcPr>
          <w:p w14:paraId="0C53FCC0" w14:textId="1E1C4B99" w:rsidR="00551249" w:rsidRPr="00A00670" w:rsidRDefault="00551249" w:rsidP="00551249">
            <w:pPr>
              <w:jc w:val="both"/>
              <w:rPr>
                <w:rFonts w:ascii="Calibri" w:eastAsia="Times New Roman" w:hAnsi="Calibri" w:cs="Calibri"/>
                <w:b/>
                <w:bCs/>
                <w:color w:val="000000"/>
                <w:lang w:eastAsia="sl-SI"/>
              </w:rPr>
            </w:pPr>
            <w:r w:rsidRPr="00A00670">
              <w:rPr>
                <w:rFonts w:ascii="Calibri" w:hAnsi="Calibri" w:cs="Calibri"/>
                <w:b/>
                <w:bCs/>
                <w:color w:val="000000"/>
              </w:rPr>
              <w:t>LJUBLJANA</w:t>
            </w:r>
          </w:p>
        </w:tc>
        <w:tc>
          <w:tcPr>
            <w:tcW w:w="1000" w:type="dxa"/>
            <w:noWrap/>
            <w:vAlign w:val="center"/>
            <w:hideMark/>
          </w:tcPr>
          <w:p w14:paraId="0D140AC6" w14:textId="3FE39572"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54EE0A2C" w14:textId="40215F49"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4B091552" w14:textId="590054DE"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3683D4BD" w14:textId="223DBD2F"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7A852A5A" w14:textId="5A98517A"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61B6BAC6" w14:textId="1CB57CD2"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r>
      <w:tr w:rsidR="00551249" w:rsidRPr="00A00670" w14:paraId="47DB2CD5" w14:textId="77777777" w:rsidTr="00A6521F">
        <w:trPr>
          <w:trHeight w:val="300"/>
        </w:trPr>
        <w:tc>
          <w:tcPr>
            <w:tcW w:w="2740" w:type="dxa"/>
            <w:vAlign w:val="center"/>
            <w:hideMark/>
          </w:tcPr>
          <w:p w14:paraId="33B97D79" w14:textId="18597590"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Velikost vzorca</w:t>
            </w:r>
          </w:p>
        </w:tc>
        <w:tc>
          <w:tcPr>
            <w:tcW w:w="1000" w:type="dxa"/>
            <w:noWrap/>
            <w:vAlign w:val="center"/>
            <w:hideMark/>
          </w:tcPr>
          <w:p w14:paraId="6E0F6AF0" w14:textId="010EC756"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1522</w:t>
            </w:r>
          </w:p>
        </w:tc>
        <w:tc>
          <w:tcPr>
            <w:tcW w:w="1000" w:type="dxa"/>
            <w:noWrap/>
            <w:vAlign w:val="center"/>
            <w:hideMark/>
          </w:tcPr>
          <w:p w14:paraId="60866D2D" w14:textId="7573EA91"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1860</w:t>
            </w:r>
          </w:p>
        </w:tc>
        <w:tc>
          <w:tcPr>
            <w:tcW w:w="1000" w:type="dxa"/>
            <w:noWrap/>
            <w:vAlign w:val="center"/>
            <w:hideMark/>
          </w:tcPr>
          <w:p w14:paraId="20173815" w14:textId="7F11B242"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1833</w:t>
            </w:r>
          </w:p>
        </w:tc>
        <w:tc>
          <w:tcPr>
            <w:tcW w:w="1000" w:type="dxa"/>
            <w:noWrap/>
            <w:vAlign w:val="center"/>
            <w:hideMark/>
          </w:tcPr>
          <w:p w14:paraId="35CF4436" w14:textId="7AA556CD"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1664</w:t>
            </w:r>
          </w:p>
        </w:tc>
        <w:tc>
          <w:tcPr>
            <w:tcW w:w="1000" w:type="dxa"/>
            <w:noWrap/>
            <w:vAlign w:val="center"/>
            <w:hideMark/>
          </w:tcPr>
          <w:p w14:paraId="6B78A980" w14:textId="7C4B4C50"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1772</w:t>
            </w:r>
          </w:p>
        </w:tc>
        <w:tc>
          <w:tcPr>
            <w:tcW w:w="1000" w:type="dxa"/>
            <w:noWrap/>
            <w:vAlign w:val="center"/>
            <w:hideMark/>
          </w:tcPr>
          <w:p w14:paraId="0F0B8432" w14:textId="0CF62061"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1403</w:t>
            </w:r>
          </w:p>
        </w:tc>
      </w:tr>
      <w:tr w:rsidR="00551249" w:rsidRPr="00A00670" w14:paraId="1B79FD29" w14:textId="77777777" w:rsidTr="00A6521F">
        <w:trPr>
          <w:trHeight w:val="345"/>
        </w:trPr>
        <w:tc>
          <w:tcPr>
            <w:tcW w:w="2740" w:type="dxa"/>
            <w:vAlign w:val="center"/>
            <w:hideMark/>
          </w:tcPr>
          <w:p w14:paraId="3E53C9D6" w14:textId="428C21E0"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b/>
                <w:bCs/>
                <w:color w:val="000000"/>
              </w:rPr>
              <w:t>Povprečna cena (€/m2)</w:t>
            </w:r>
          </w:p>
        </w:tc>
        <w:tc>
          <w:tcPr>
            <w:tcW w:w="1000" w:type="dxa"/>
            <w:noWrap/>
            <w:vAlign w:val="center"/>
            <w:hideMark/>
          </w:tcPr>
          <w:p w14:paraId="2F72E425" w14:textId="32DD9027"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2.040</w:t>
            </w:r>
          </w:p>
        </w:tc>
        <w:tc>
          <w:tcPr>
            <w:tcW w:w="1000" w:type="dxa"/>
            <w:noWrap/>
            <w:vAlign w:val="center"/>
            <w:hideMark/>
          </w:tcPr>
          <w:p w14:paraId="65A72B44" w14:textId="29256870"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2.180</w:t>
            </w:r>
          </w:p>
        </w:tc>
        <w:tc>
          <w:tcPr>
            <w:tcW w:w="1000" w:type="dxa"/>
            <w:noWrap/>
            <w:vAlign w:val="center"/>
            <w:hideMark/>
          </w:tcPr>
          <w:p w14:paraId="5933C903" w14:textId="5B23BC3C"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2.410</w:t>
            </w:r>
          </w:p>
        </w:tc>
        <w:tc>
          <w:tcPr>
            <w:tcW w:w="1000" w:type="dxa"/>
            <w:noWrap/>
            <w:vAlign w:val="center"/>
            <w:hideMark/>
          </w:tcPr>
          <w:p w14:paraId="32B354DA" w14:textId="697380DC"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2.770</w:t>
            </w:r>
          </w:p>
        </w:tc>
        <w:tc>
          <w:tcPr>
            <w:tcW w:w="1000" w:type="dxa"/>
            <w:noWrap/>
            <w:vAlign w:val="center"/>
            <w:hideMark/>
          </w:tcPr>
          <w:p w14:paraId="24CB0417" w14:textId="5E73B8EB"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2.800</w:t>
            </w:r>
          </w:p>
        </w:tc>
        <w:tc>
          <w:tcPr>
            <w:tcW w:w="1000" w:type="dxa"/>
            <w:noWrap/>
            <w:vAlign w:val="center"/>
            <w:hideMark/>
          </w:tcPr>
          <w:p w14:paraId="1B68B87B" w14:textId="7DBECE8B"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2.960</w:t>
            </w:r>
          </w:p>
        </w:tc>
      </w:tr>
      <w:tr w:rsidR="00551249" w:rsidRPr="00A00670" w14:paraId="5E98981F" w14:textId="77777777" w:rsidTr="00A6521F">
        <w:trPr>
          <w:trHeight w:val="300"/>
        </w:trPr>
        <w:tc>
          <w:tcPr>
            <w:tcW w:w="2740" w:type="dxa"/>
            <w:vAlign w:val="center"/>
            <w:hideMark/>
          </w:tcPr>
          <w:p w14:paraId="31F1C365" w14:textId="47FA5953"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Leto izgradnje (mediana)</w:t>
            </w:r>
          </w:p>
        </w:tc>
        <w:tc>
          <w:tcPr>
            <w:tcW w:w="1000" w:type="dxa"/>
            <w:noWrap/>
            <w:vAlign w:val="center"/>
            <w:hideMark/>
          </w:tcPr>
          <w:p w14:paraId="22E1C7B2" w14:textId="727A6812"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1973</w:t>
            </w:r>
          </w:p>
        </w:tc>
        <w:tc>
          <w:tcPr>
            <w:tcW w:w="1000" w:type="dxa"/>
            <w:noWrap/>
            <w:vAlign w:val="center"/>
            <w:hideMark/>
          </w:tcPr>
          <w:p w14:paraId="4AB6AE83" w14:textId="1DB9765C"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1972</w:t>
            </w:r>
          </w:p>
        </w:tc>
        <w:tc>
          <w:tcPr>
            <w:tcW w:w="1000" w:type="dxa"/>
            <w:noWrap/>
            <w:vAlign w:val="center"/>
            <w:hideMark/>
          </w:tcPr>
          <w:p w14:paraId="5D51AFEE" w14:textId="331C6B3F"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1972</w:t>
            </w:r>
          </w:p>
        </w:tc>
        <w:tc>
          <w:tcPr>
            <w:tcW w:w="1000" w:type="dxa"/>
            <w:noWrap/>
            <w:vAlign w:val="center"/>
            <w:hideMark/>
          </w:tcPr>
          <w:p w14:paraId="21D71D39" w14:textId="3355CD31"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1972</w:t>
            </w:r>
          </w:p>
        </w:tc>
        <w:tc>
          <w:tcPr>
            <w:tcW w:w="1000" w:type="dxa"/>
            <w:noWrap/>
            <w:vAlign w:val="center"/>
            <w:hideMark/>
          </w:tcPr>
          <w:p w14:paraId="5488CC6D" w14:textId="076A4A6E"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1973</w:t>
            </w:r>
          </w:p>
        </w:tc>
        <w:tc>
          <w:tcPr>
            <w:tcW w:w="1000" w:type="dxa"/>
            <w:noWrap/>
            <w:vAlign w:val="center"/>
            <w:hideMark/>
          </w:tcPr>
          <w:p w14:paraId="1F175EB2" w14:textId="4BFE3964"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1974</w:t>
            </w:r>
          </w:p>
        </w:tc>
      </w:tr>
      <w:tr w:rsidR="00551249" w:rsidRPr="00A00670" w14:paraId="72C0F08B" w14:textId="77777777" w:rsidTr="00A6521F">
        <w:trPr>
          <w:trHeight w:val="345"/>
        </w:trPr>
        <w:tc>
          <w:tcPr>
            <w:tcW w:w="2740" w:type="dxa"/>
            <w:vAlign w:val="center"/>
            <w:hideMark/>
          </w:tcPr>
          <w:p w14:paraId="1F10C5B7" w14:textId="79DCE8AF"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Uporabna površina (m2)</w:t>
            </w:r>
          </w:p>
        </w:tc>
        <w:tc>
          <w:tcPr>
            <w:tcW w:w="1000" w:type="dxa"/>
            <w:noWrap/>
            <w:vAlign w:val="center"/>
            <w:hideMark/>
          </w:tcPr>
          <w:p w14:paraId="617DB8E6" w14:textId="26FC93AA"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54</w:t>
            </w:r>
          </w:p>
        </w:tc>
        <w:tc>
          <w:tcPr>
            <w:tcW w:w="1000" w:type="dxa"/>
            <w:noWrap/>
            <w:vAlign w:val="center"/>
            <w:hideMark/>
          </w:tcPr>
          <w:p w14:paraId="2F2B2AF8" w14:textId="6824892D"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54</w:t>
            </w:r>
          </w:p>
        </w:tc>
        <w:tc>
          <w:tcPr>
            <w:tcW w:w="1000" w:type="dxa"/>
            <w:noWrap/>
            <w:vAlign w:val="center"/>
            <w:hideMark/>
          </w:tcPr>
          <w:p w14:paraId="261C36A6" w14:textId="538A7313"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53</w:t>
            </w:r>
          </w:p>
        </w:tc>
        <w:tc>
          <w:tcPr>
            <w:tcW w:w="1000" w:type="dxa"/>
            <w:noWrap/>
            <w:vAlign w:val="center"/>
            <w:hideMark/>
          </w:tcPr>
          <w:p w14:paraId="23694DE1" w14:textId="636DB6F5"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53</w:t>
            </w:r>
          </w:p>
        </w:tc>
        <w:tc>
          <w:tcPr>
            <w:tcW w:w="1000" w:type="dxa"/>
            <w:noWrap/>
            <w:vAlign w:val="center"/>
            <w:hideMark/>
          </w:tcPr>
          <w:p w14:paraId="19DD86D5" w14:textId="32EDC7A6"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53</w:t>
            </w:r>
          </w:p>
        </w:tc>
        <w:tc>
          <w:tcPr>
            <w:tcW w:w="1000" w:type="dxa"/>
            <w:noWrap/>
            <w:vAlign w:val="center"/>
            <w:hideMark/>
          </w:tcPr>
          <w:p w14:paraId="628A67E7" w14:textId="102AE5B6"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54</w:t>
            </w:r>
          </w:p>
        </w:tc>
      </w:tr>
      <w:tr w:rsidR="00551249" w:rsidRPr="00A00670" w14:paraId="5BBA6856" w14:textId="77777777" w:rsidTr="00A6521F">
        <w:trPr>
          <w:trHeight w:val="300"/>
        </w:trPr>
        <w:tc>
          <w:tcPr>
            <w:tcW w:w="2740" w:type="dxa"/>
            <w:noWrap/>
            <w:vAlign w:val="center"/>
            <w:hideMark/>
          </w:tcPr>
          <w:p w14:paraId="6ED8E65A" w14:textId="71D3D1B2" w:rsidR="00551249" w:rsidRPr="00A00670" w:rsidRDefault="00551249" w:rsidP="00551249">
            <w:pPr>
              <w:jc w:val="both"/>
              <w:rPr>
                <w:rFonts w:ascii="Calibri" w:eastAsia="Times New Roman" w:hAnsi="Calibri" w:cs="Calibri"/>
                <w:b/>
                <w:bCs/>
                <w:color w:val="000000"/>
                <w:lang w:eastAsia="sl-SI"/>
              </w:rPr>
            </w:pPr>
            <w:r w:rsidRPr="00A00670">
              <w:rPr>
                <w:rFonts w:ascii="Calibri" w:hAnsi="Calibri" w:cs="Calibri"/>
                <w:b/>
                <w:bCs/>
                <w:color w:val="000000"/>
              </w:rPr>
              <w:t>OKOLICA LJUBLJANE</w:t>
            </w:r>
          </w:p>
        </w:tc>
        <w:tc>
          <w:tcPr>
            <w:tcW w:w="1000" w:type="dxa"/>
            <w:noWrap/>
            <w:vAlign w:val="center"/>
            <w:hideMark/>
          </w:tcPr>
          <w:p w14:paraId="1209ED3B" w14:textId="3AEB6740"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21DE9E84" w14:textId="44E03B3D"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7473FCA0" w14:textId="58DD1BDF"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20AF7BB1" w14:textId="0232B1A3"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0728E8A1" w14:textId="2EF51B74"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47712C39" w14:textId="663ABFEE"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r>
      <w:tr w:rsidR="00551249" w:rsidRPr="00A00670" w14:paraId="4A20F772" w14:textId="77777777" w:rsidTr="00A6521F">
        <w:trPr>
          <w:trHeight w:val="300"/>
        </w:trPr>
        <w:tc>
          <w:tcPr>
            <w:tcW w:w="2740" w:type="dxa"/>
            <w:vAlign w:val="center"/>
            <w:hideMark/>
          </w:tcPr>
          <w:p w14:paraId="19419F16" w14:textId="53F780B2"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Velikost vzorca</w:t>
            </w:r>
          </w:p>
        </w:tc>
        <w:tc>
          <w:tcPr>
            <w:tcW w:w="1000" w:type="dxa"/>
            <w:noWrap/>
            <w:vAlign w:val="center"/>
            <w:hideMark/>
          </w:tcPr>
          <w:p w14:paraId="0580BB6E" w14:textId="1BEB4073"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411</w:t>
            </w:r>
          </w:p>
        </w:tc>
        <w:tc>
          <w:tcPr>
            <w:tcW w:w="1000" w:type="dxa"/>
            <w:noWrap/>
            <w:vAlign w:val="center"/>
            <w:hideMark/>
          </w:tcPr>
          <w:p w14:paraId="36A3136C" w14:textId="1811A910"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535</w:t>
            </w:r>
          </w:p>
        </w:tc>
        <w:tc>
          <w:tcPr>
            <w:tcW w:w="1000" w:type="dxa"/>
            <w:noWrap/>
            <w:vAlign w:val="center"/>
            <w:hideMark/>
          </w:tcPr>
          <w:p w14:paraId="292CF35F" w14:textId="37706614"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565</w:t>
            </w:r>
          </w:p>
        </w:tc>
        <w:tc>
          <w:tcPr>
            <w:tcW w:w="1000" w:type="dxa"/>
            <w:noWrap/>
            <w:vAlign w:val="center"/>
            <w:hideMark/>
          </w:tcPr>
          <w:p w14:paraId="3C8154E2" w14:textId="62F37261"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471</w:t>
            </w:r>
          </w:p>
        </w:tc>
        <w:tc>
          <w:tcPr>
            <w:tcW w:w="1000" w:type="dxa"/>
            <w:noWrap/>
            <w:vAlign w:val="center"/>
            <w:hideMark/>
          </w:tcPr>
          <w:p w14:paraId="48A245FB" w14:textId="0398152D"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466</w:t>
            </w:r>
          </w:p>
        </w:tc>
        <w:tc>
          <w:tcPr>
            <w:tcW w:w="1000" w:type="dxa"/>
            <w:noWrap/>
            <w:vAlign w:val="center"/>
            <w:hideMark/>
          </w:tcPr>
          <w:p w14:paraId="14638CE5" w14:textId="19D7AFB9"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344</w:t>
            </w:r>
          </w:p>
        </w:tc>
      </w:tr>
      <w:tr w:rsidR="00551249" w:rsidRPr="00A00670" w14:paraId="51727D6A" w14:textId="77777777" w:rsidTr="00A6521F">
        <w:trPr>
          <w:trHeight w:val="345"/>
        </w:trPr>
        <w:tc>
          <w:tcPr>
            <w:tcW w:w="2740" w:type="dxa"/>
            <w:vAlign w:val="center"/>
            <w:hideMark/>
          </w:tcPr>
          <w:p w14:paraId="6DC1AA7A" w14:textId="1172225A"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Povprečna cena (€/m2)</w:t>
            </w:r>
          </w:p>
        </w:tc>
        <w:tc>
          <w:tcPr>
            <w:tcW w:w="1000" w:type="dxa"/>
            <w:noWrap/>
            <w:vAlign w:val="center"/>
            <w:hideMark/>
          </w:tcPr>
          <w:p w14:paraId="39B5F0E6" w14:textId="2B08DBAD"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1.620</w:t>
            </w:r>
          </w:p>
        </w:tc>
        <w:tc>
          <w:tcPr>
            <w:tcW w:w="1000" w:type="dxa"/>
            <w:noWrap/>
            <w:vAlign w:val="center"/>
            <w:hideMark/>
          </w:tcPr>
          <w:p w14:paraId="13E774A9" w14:textId="71FC35D7"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1.680</w:t>
            </w:r>
          </w:p>
        </w:tc>
        <w:tc>
          <w:tcPr>
            <w:tcW w:w="1000" w:type="dxa"/>
            <w:noWrap/>
            <w:vAlign w:val="center"/>
            <w:hideMark/>
          </w:tcPr>
          <w:p w14:paraId="3173275A" w14:textId="6C1C92F7"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1.820</w:t>
            </w:r>
          </w:p>
        </w:tc>
        <w:tc>
          <w:tcPr>
            <w:tcW w:w="1000" w:type="dxa"/>
            <w:noWrap/>
            <w:vAlign w:val="center"/>
            <w:hideMark/>
          </w:tcPr>
          <w:p w14:paraId="29B964C3" w14:textId="509EE03A"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2.040</w:t>
            </w:r>
          </w:p>
        </w:tc>
        <w:tc>
          <w:tcPr>
            <w:tcW w:w="1000" w:type="dxa"/>
            <w:noWrap/>
            <w:vAlign w:val="center"/>
            <w:hideMark/>
          </w:tcPr>
          <w:p w14:paraId="485B681A" w14:textId="5CD35BDC"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2.230</w:t>
            </w:r>
          </w:p>
        </w:tc>
        <w:tc>
          <w:tcPr>
            <w:tcW w:w="1000" w:type="dxa"/>
            <w:noWrap/>
            <w:vAlign w:val="center"/>
            <w:hideMark/>
          </w:tcPr>
          <w:p w14:paraId="75B5906C" w14:textId="18ABADE0"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2.300</w:t>
            </w:r>
          </w:p>
        </w:tc>
      </w:tr>
      <w:tr w:rsidR="00551249" w:rsidRPr="00A00670" w14:paraId="155804B1" w14:textId="77777777" w:rsidTr="00A6521F">
        <w:trPr>
          <w:trHeight w:val="300"/>
        </w:trPr>
        <w:tc>
          <w:tcPr>
            <w:tcW w:w="2740" w:type="dxa"/>
            <w:vAlign w:val="center"/>
            <w:hideMark/>
          </w:tcPr>
          <w:p w14:paraId="304220DA" w14:textId="0E15D224"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Leto izgradnje (mediana)</w:t>
            </w:r>
          </w:p>
        </w:tc>
        <w:tc>
          <w:tcPr>
            <w:tcW w:w="1000" w:type="dxa"/>
            <w:noWrap/>
            <w:vAlign w:val="center"/>
            <w:hideMark/>
          </w:tcPr>
          <w:p w14:paraId="73F320C3" w14:textId="798D71F6"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1984</w:t>
            </w:r>
          </w:p>
        </w:tc>
        <w:tc>
          <w:tcPr>
            <w:tcW w:w="1000" w:type="dxa"/>
            <w:noWrap/>
            <w:vAlign w:val="center"/>
            <w:hideMark/>
          </w:tcPr>
          <w:p w14:paraId="513CC350" w14:textId="0E0A3A7B"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1996</w:t>
            </w:r>
          </w:p>
        </w:tc>
        <w:tc>
          <w:tcPr>
            <w:tcW w:w="1000" w:type="dxa"/>
            <w:noWrap/>
            <w:vAlign w:val="center"/>
            <w:hideMark/>
          </w:tcPr>
          <w:p w14:paraId="231DB240" w14:textId="6CAF816B"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1990</w:t>
            </w:r>
          </w:p>
        </w:tc>
        <w:tc>
          <w:tcPr>
            <w:tcW w:w="1000" w:type="dxa"/>
            <w:noWrap/>
            <w:vAlign w:val="center"/>
            <w:hideMark/>
          </w:tcPr>
          <w:p w14:paraId="454C0117" w14:textId="6926ADA7"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1991</w:t>
            </w:r>
          </w:p>
        </w:tc>
        <w:tc>
          <w:tcPr>
            <w:tcW w:w="1000" w:type="dxa"/>
            <w:noWrap/>
            <w:vAlign w:val="center"/>
            <w:hideMark/>
          </w:tcPr>
          <w:p w14:paraId="0FD29FE8" w14:textId="4A1680EC"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1988</w:t>
            </w:r>
          </w:p>
        </w:tc>
        <w:tc>
          <w:tcPr>
            <w:tcW w:w="1000" w:type="dxa"/>
            <w:noWrap/>
            <w:vAlign w:val="center"/>
            <w:hideMark/>
          </w:tcPr>
          <w:p w14:paraId="1E4D44E0" w14:textId="69A84ED8"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1990</w:t>
            </w:r>
          </w:p>
        </w:tc>
      </w:tr>
      <w:tr w:rsidR="00551249" w:rsidRPr="00A00670" w14:paraId="534EC4C9" w14:textId="77777777" w:rsidTr="00A6521F">
        <w:trPr>
          <w:trHeight w:val="345"/>
        </w:trPr>
        <w:tc>
          <w:tcPr>
            <w:tcW w:w="2740" w:type="dxa"/>
            <w:vAlign w:val="center"/>
            <w:hideMark/>
          </w:tcPr>
          <w:p w14:paraId="6CB8C06E" w14:textId="1ADBCF80"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Uporabna površina (m2)</w:t>
            </w:r>
          </w:p>
        </w:tc>
        <w:tc>
          <w:tcPr>
            <w:tcW w:w="1000" w:type="dxa"/>
            <w:noWrap/>
            <w:vAlign w:val="center"/>
            <w:hideMark/>
          </w:tcPr>
          <w:p w14:paraId="06BB3CC4" w14:textId="043EA256"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53</w:t>
            </w:r>
          </w:p>
        </w:tc>
        <w:tc>
          <w:tcPr>
            <w:tcW w:w="1000" w:type="dxa"/>
            <w:noWrap/>
            <w:vAlign w:val="center"/>
            <w:hideMark/>
          </w:tcPr>
          <w:p w14:paraId="5816E7F8" w14:textId="30511696"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54</w:t>
            </w:r>
          </w:p>
        </w:tc>
        <w:tc>
          <w:tcPr>
            <w:tcW w:w="1000" w:type="dxa"/>
            <w:noWrap/>
            <w:vAlign w:val="center"/>
            <w:hideMark/>
          </w:tcPr>
          <w:p w14:paraId="01CDFADA" w14:textId="6AA5EBB0"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55</w:t>
            </w:r>
          </w:p>
        </w:tc>
        <w:tc>
          <w:tcPr>
            <w:tcW w:w="1000" w:type="dxa"/>
            <w:noWrap/>
            <w:vAlign w:val="center"/>
            <w:hideMark/>
          </w:tcPr>
          <w:p w14:paraId="561D23EF" w14:textId="5FBDE140"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54</w:t>
            </w:r>
          </w:p>
        </w:tc>
        <w:tc>
          <w:tcPr>
            <w:tcW w:w="1000" w:type="dxa"/>
            <w:noWrap/>
            <w:vAlign w:val="center"/>
            <w:hideMark/>
          </w:tcPr>
          <w:p w14:paraId="36F85E25" w14:textId="0271EB8C"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53</w:t>
            </w:r>
          </w:p>
        </w:tc>
        <w:tc>
          <w:tcPr>
            <w:tcW w:w="1000" w:type="dxa"/>
            <w:noWrap/>
            <w:vAlign w:val="center"/>
            <w:hideMark/>
          </w:tcPr>
          <w:p w14:paraId="71408582" w14:textId="50DB30C3"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56</w:t>
            </w:r>
          </w:p>
        </w:tc>
      </w:tr>
      <w:tr w:rsidR="00551249" w:rsidRPr="00A00670" w14:paraId="49604339" w14:textId="77777777" w:rsidTr="00A6521F">
        <w:trPr>
          <w:trHeight w:val="300"/>
        </w:trPr>
        <w:tc>
          <w:tcPr>
            <w:tcW w:w="2740" w:type="dxa"/>
            <w:noWrap/>
            <w:vAlign w:val="center"/>
            <w:hideMark/>
          </w:tcPr>
          <w:p w14:paraId="0FE036E7" w14:textId="565C421D" w:rsidR="00551249" w:rsidRPr="00A00670" w:rsidRDefault="00551249" w:rsidP="00551249">
            <w:pPr>
              <w:jc w:val="both"/>
              <w:rPr>
                <w:rFonts w:ascii="Calibri" w:eastAsia="Times New Roman" w:hAnsi="Calibri" w:cs="Calibri"/>
                <w:b/>
                <w:bCs/>
                <w:color w:val="000000"/>
                <w:lang w:eastAsia="sl-SI"/>
              </w:rPr>
            </w:pPr>
            <w:r w:rsidRPr="00A00670">
              <w:rPr>
                <w:rFonts w:ascii="Calibri" w:hAnsi="Calibri" w:cs="Calibri"/>
                <w:b/>
                <w:bCs/>
                <w:color w:val="000000"/>
              </w:rPr>
              <w:t>MARIBOR</w:t>
            </w:r>
          </w:p>
        </w:tc>
        <w:tc>
          <w:tcPr>
            <w:tcW w:w="1000" w:type="dxa"/>
            <w:noWrap/>
            <w:vAlign w:val="center"/>
            <w:hideMark/>
          </w:tcPr>
          <w:p w14:paraId="27A6F444" w14:textId="2ACFE3EE"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4AF59EF5" w14:textId="23B62F6E"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4BDFF711" w14:textId="6AF8B499"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6A162DC0" w14:textId="32BA7BE7"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6FE61223" w14:textId="4BCD6359"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6852BE6D" w14:textId="5BA5E26B"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r>
      <w:tr w:rsidR="00551249" w:rsidRPr="00A00670" w14:paraId="67580AA9" w14:textId="77777777" w:rsidTr="00A6521F">
        <w:trPr>
          <w:trHeight w:val="300"/>
        </w:trPr>
        <w:tc>
          <w:tcPr>
            <w:tcW w:w="2740" w:type="dxa"/>
            <w:vAlign w:val="center"/>
            <w:hideMark/>
          </w:tcPr>
          <w:p w14:paraId="0CFFC391" w14:textId="4E218C0D"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Velikost vzorca</w:t>
            </w:r>
          </w:p>
        </w:tc>
        <w:tc>
          <w:tcPr>
            <w:tcW w:w="1000" w:type="dxa"/>
            <w:noWrap/>
            <w:vAlign w:val="center"/>
            <w:hideMark/>
          </w:tcPr>
          <w:p w14:paraId="4AFE4DB1" w14:textId="06EC8F64"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788</w:t>
            </w:r>
          </w:p>
        </w:tc>
        <w:tc>
          <w:tcPr>
            <w:tcW w:w="1000" w:type="dxa"/>
            <w:noWrap/>
            <w:vAlign w:val="center"/>
            <w:hideMark/>
          </w:tcPr>
          <w:p w14:paraId="18F76C19" w14:textId="044C160C"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871</w:t>
            </w:r>
          </w:p>
        </w:tc>
        <w:tc>
          <w:tcPr>
            <w:tcW w:w="1000" w:type="dxa"/>
            <w:noWrap/>
            <w:vAlign w:val="center"/>
            <w:hideMark/>
          </w:tcPr>
          <w:p w14:paraId="66FACB07" w14:textId="0CF88466"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938</w:t>
            </w:r>
          </w:p>
        </w:tc>
        <w:tc>
          <w:tcPr>
            <w:tcW w:w="1000" w:type="dxa"/>
            <w:noWrap/>
            <w:vAlign w:val="center"/>
            <w:hideMark/>
          </w:tcPr>
          <w:p w14:paraId="3E4BC47A" w14:textId="422A4D5A"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925</w:t>
            </w:r>
          </w:p>
        </w:tc>
        <w:tc>
          <w:tcPr>
            <w:tcW w:w="1000" w:type="dxa"/>
            <w:noWrap/>
            <w:vAlign w:val="center"/>
            <w:hideMark/>
          </w:tcPr>
          <w:p w14:paraId="7BBD5C9A" w14:textId="7D2FD051"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879</w:t>
            </w:r>
          </w:p>
        </w:tc>
        <w:tc>
          <w:tcPr>
            <w:tcW w:w="1000" w:type="dxa"/>
            <w:noWrap/>
            <w:vAlign w:val="center"/>
            <w:hideMark/>
          </w:tcPr>
          <w:p w14:paraId="2A966972" w14:textId="76C96B44"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778</w:t>
            </w:r>
          </w:p>
        </w:tc>
      </w:tr>
      <w:tr w:rsidR="00551249" w:rsidRPr="00A00670" w14:paraId="78AC732E" w14:textId="77777777" w:rsidTr="00A6521F">
        <w:trPr>
          <w:trHeight w:val="345"/>
        </w:trPr>
        <w:tc>
          <w:tcPr>
            <w:tcW w:w="2740" w:type="dxa"/>
            <w:vAlign w:val="center"/>
            <w:hideMark/>
          </w:tcPr>
          <w:p w14:paraId="379DE3D7" w14:textId="2E64C5AF"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Povprečna cena (€/m2)</w:t>
            </w:r>
          </w:p>
        </w:tc>
        <w:tc>
          <w:tcPr>
            <w:tcW w:w="1000" w:type="dxa"/>
            <w:noWrap/>
            <w:vAlign w:val="center"/>
            <w:hideMark/>
          </w:tcPr>
          <w:p w14:paraId="3F3A7EE8" w14:textId="1337621B"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1.050</w:t>
            </w:r>
          </w:p>
        </w:tc>
        <w:tc>
          <w:tcPr>
            <w:tcW w:w="1000" w:type="dxa"/>
            <w:noWrap/>
            <w:vAlign w:val="center"/>
            <w:hideMark/>
          </w:tcPr>
          <w:p w14:paraId="42234EEA" w14:textId="0406DB13"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1.080</w:t>
            </w:r>
          </w:p>
        </w:tc>
        <w:tc>
          <w:tcPr>
            <w:tcW w:w="1000" w:type="dxa"/>
            <w:noWrap/>
            <w:vAlign w:val="center"/>
            <w:hideMark/>
          </w:tcPr>
          <w:p w14:paraId="5F974F88" w14:textId="5DD09BF1"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1.150</w:t>
            </w:r>
          </w:p>
        </w:tc>
        <w:tc>
          <w:tcPr>
            <w:tcW w:w="1000" w:type="dxa"/>
            <w:noWrap/>
            <w:vAlign w:val="center"/>
            <w:hideMark/>
          </w:tcPr>
          <w:p w14:paraId="4AD2FD28" w14:textId="13016266"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1.270</w:t>
            </w:r>
          </w:p>
        </w:tc>
        <w:tc>
          <w:tcPr>
            <w:tcW w:w="1000" w:type="dxa"/>
            <w:noWrap/>
            <w:vAlign w:val="center"/>
            <w:hideMark/>
          </w:tcPr>
          <w:p w14:paraId="1B46BED3" w14:textId="2985C3B4"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1.330</w:t>
            </w:r>
          </w:p>
        </w:tc>
        <w:tc>
          <w:tcPr>
            <w:tcW w:w="1000" w:type="dxa"/>
            <w:noWrap/>
            <w:vAlign w:val="center"/>
            <w:hideMark/>
          </w:tcPr>
          <w:p w14:paraId="04136F96" w14:textId="36BD4F0F"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1.410</w:t>
            </w:r>
          </w:p>
        </w:tc>
      </w:tr>
      <w:tr w:rsidR="00551249" w:rsidRPr="00A00670" w14:paraId="32AD421E" w14:textId="77777777" w:rsidTr="00A6521F">
        <w:trPr>
          <w:trHeight w:val="300"/>
        </w:trPr>
        <w:tc>
          <w:tcPr>
            <w:tcW w:w="2740" w:type="dxa"/>
            <w:vAlign w:val="center"/>
            <w:hideMark/>
          </w:tcPr>
          <w:p w14:paraId="0ACB9391" w14:textId="5B658E62"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Leto izgradnje (mediana)</w:t>
            </w:r>
          </w:p>
        </w:tc>
        <w:tc>
          <w:tcPr>
            <w:tcW w:w="1000" w:type="dxa"/>
            <w:noWrap/>
            <w:vAlign w:val="center"/>
            <w:hideMark/>
          </w:tcPr>
          <w:p w14:paraId="3EE8CBDC" w14:textId="39E739A3"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1970</w:t>
            </w:r>
          </w:p>
        </w:tc>
        <w:tc>
          <w:tcPr>
            <w:tcW w:w="1000" w:type="dxa"/>
            <w:noWrap/>
            <w:vAlign w:val="center"/>
            <w:hideMark/>
          </w:tcPr>
          <w:p w14:paraId="03E19AE1" w14:textId="308590A0"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1970</w:t>
            </w:r>
          </w:p>
        </w:tc>
        <w:tc>
          <w:tcPr>
            <w:tcW w:w="1000" w:type="dxa"/>
            <w:noWrap/>
            <w:vAlign w:val="center"/>
            <w:hideMark/>
          </w:tcPr>
          <w:p w14:paraId="00FF690F" w14:textId="10102F11"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1969</w:t>
            </w:r>
          </w:p>
        </w:tc>
        <w:tc>
          <w:tcPr>
            <w:tcW w:w="1000" w:type="dxa"/>
            <w:noWrap/>
            <w:vAlign w:val="center"/>
            <w:hideMark/>
          </w:tcPr>
          <w:p w14:paraId="616E0438" w14:textId="5229F115"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1969</w:t>
            </w:r>
          </w:p>
        </w:tc>
        <w:tc>
          <w:tcPr>
            <w:tcW w:w="1000" w:type="dxa"/>
            <w:noWrap/>
            <w:vAlign w:val="center"/>
            <w:hideMark/>
          </w:tcPr>
          <w:p w14:paraId="54A4B2C8" w14:textId="19FC99C0"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1968</w:t>
            </w:r>
          </w:p>
        </w:tc>
        <w:tc>
          <w:tcPr>
            <w:tcW w:w="1000" w:type="dxa"/>
            <w:noWrap/>
            <w:vAlign w:val="center"/>
            <w:hideMark/>
          </w:tcPr>
          <w:p w14:paraId="4D6B912D" w14:textId="2CF55247"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1971</w:t>
            </w:r>
          </w:p>
        </w:tc>
      </w:tr>
      <w:tr w:rsidR="00551249" w:rsidRPr="00A00670" w14:paraId="0020217A" w14:textId="77777777" w:rsidTr="00A6521F">
        <w:trPr>
          <w:trHeight w:val="345"/>
        </w:trPr>
        <w:tc>
          <w:tcPr>
            <w:tcW w:w="2740" w:type="dxa"/>
            <w:vAlign w:val="center"/>
            <w:hideMark/>
          </w:tcPr>
          <w:p w14:paraId="3BCE396A" w14:textId="052F7CE0"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Uporabna površina (m2)</w:t>
            </w:r>
          </w:p>
        </w:tc>
        <w:tc>
          <w:tcPr>
            <w:tcW w:w="1000" w:type="dxa"/>
            <w:noWrap/>
            <w:vAlign w:val="center"/>
            <w:hideMark/>
          </w:tcPr>
          <w:p w14:paraId="717D5A0B" w14:textId="7E27CA05"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51</w:t>
            </w:r>
          </w:p>
        </w:tc>
        <w:tc>
          <w:tcPr>
            <w:tcW w:w="1000" w:type="dxa"/>
            <w:noWrap/>
            <w:vAlign w:val="center"/>
            <w:hideMark/>
          </w:tcPr>
          <w:p w14:paraId="70F43D39" w14:textId="1AC40465"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53</w:t>
            </w:r>
          </w:p>
        </w:tc>
        <w:tc>
          <w:tcPr>
            <w:tcW w:w="1000" w:type="dxa"/>
            <w:noWrap/>
            <w:vAlign w:val="center"/>
            <w:hideMark/>
          </w:tcPr>
          <w:p w14:paraId="64DD9CD4" w14:textId="516110A8"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52</w:t>
            </w:r>
          </w:p>
        </w:tc>
        <w:tc>
          <w:tcPr>
            <w:tcW w:w="1000" w:type="dxa"/>
            <w:noWrap/>
            <w:vAlign w:val="center"/>
            <w:hideMark/>
          </w:tcPr>
          <w:p w14:paraId="24D66B3A" w14:textId="1C74A8D7"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52</w:t>
            </w:r>
          </w:p>
        </w:tc>
        <w:tc>
          <w:tcPr>
            <w:tcW w:w="1000" w:type="dxa"/>
            <w:noWrap/>
            <w:vAlign w:val="center"/>
            <w:hideMark/>
          </w:tcPr>
          <w:p w14:paraId="50DC4D5C" w14:textId="75E7E1EF"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52</w:t>
            </w:r>
          </w:p>
        </w:tc>
        <w:tc>
          <w:tcPr>
            <w:tcW w:w="1000" w:type="dxa"/>
            <w:noWrap/>
            <w:vAlign w:val="center"/>
            <w:hideMark/>
          </w:tcPr>
          <w:p w14:paraId="2E90B297" w14:textId="5DC8B69E"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54</w:t>
            </w:r>
          </w:p>
        </w:tc>
      </w:tr>
      <w:tr w:rsidR="00551249" w:rsidRPr="00A00670" w14:paraId="301EC4BF" w14:textId="77777777" w:rsidTr="00A6521F">
        <w:trPr>
          <w:trHeight w:val="300"/>
        </w:trPr>
        <w:tc>
          <w:tcPr>
            <w:tcW w:w="2740" w:type="dxa"/>
            <w:noWrap/>
            <w:vAlign w:val="center"/>
            <w:hideMark/>
          </w:tcPr>
          <w:p w14:paraId="6BB0F7E5" w14:textId="7EF23FF9" w:rsidR="00551249" w:rsidRPr="00A00670" w:rsidRDefault="00551249" w:rsidP="00551249">
            <w:pPr>
              <w:jc w:val="both"/>
              <w:rPr>
                <w:rFonts w:ascii="Calibri" w:eastAsia="Times New Roman" w:hAnsi="Calibri" w:cs="Calibri"/>
                <w:b/>
                <w:bCs/>
                <w:color w:val="000000"/>
                <w:lang w:eastAsia="sl-SI"/>
              </w:rPr>
            </w:pPr>
            <w:r w:rsidRPr="00A00670">
              <w:rPr>
                <w:rFonts w:ascii="Calibri" w:hAnsi="Calibri" w:cs="Calibri"/>
                <w:b/>
                <w:bCs/>
                <w:color w:val="000000"/>
              </w:rPr>
              <w:t>CELJE</w:t>
            </w:r>
          </w:p>
        </w:tc>
        <w:tc>
          <w:tcPr>
            <w:tcW w:w="1000" w:type="dxa"/>
            <w:noWrap/>
            <w:vAlign w:val="center"/>
            <w:hideMark/>
          </w:tcPr>
          <w:p w14:paraId="7F22FD55" w14:textId="7BB8987B"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7C5D98BE" w14:textId="732C4EC2"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2DB99C66" w14:textId="0DCB2957"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44B1B3C5" w14:textId="2F2E6691"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704A67AD" w14:textId="7FCECED6"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71785340" w14:textId="64A01FD4"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r>
      <w:tr w:rsidR="00551249" w:rsidRPr="00A00670" w14:paraId="2DF17F52" w14:textId="77777777" w:rsidTr="00A6521F">
        <w:trPr>
          <w:trHeight w:val="300"/>
        </w:trPr>
        <w:tc>
          <w:tcPr>
            <w:tcW w:w="2740" w:type="dxa"/>
            <w:vAlign w:val="center"/>
            <w:hideMark/>
          </w:tcPr>
          <w:p w14:paraId="276EAF07" w14:textId="76E4D886"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Velikost vzorca</w:t>
            </w:r>
          </w:p>
        </w:tc>
        <w:tc>
          <w:tcPr>
            <w:tcW w:w="1000" w:type="dxa"/>
            <w:noWrap/>
            <w:vAlign w:val="center"/>
            <w:hideMark/>
          </w:tcPr>
          <w:p w14:paraId="5C3D58A3" w14:textId="5461CB12"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241</w:t>
            </w:r>
          </w:p>
        </w:tc>
        <w:tc>
          <w:tcPr>
            <w:tcW w:w="1000" w:type="dxa"/>
            <w:noWrap/>
            <w:vAlign w:val="center"/>
            <w:hideMark/>
          </w:tcPr>
          <w:p w14:paraId="387E4ECA" w14:textId="2A35D720"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294</w:t>
            </w:r>
          </w:p>
        </w:tc>
        <w:tc>
          <w:tcPr>
            <w:tcW w:w="1000" w:type="dxa"/>
            <w:noWrap/>
            <w:vAlign w:val="center"/>
            <w:hideMark/>
          </w:tcPr>
          <w:p w14:paraId="60A17299" w14:textId="56CDC30A"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327</w:t>
            </w:r>
          </w:p>
        </w:tc>
        <w:tc>
          <w:tcPr>
            <w:tcW w:w="1000" w:type="dxa"/>
            <w:noWrap/>
            <w:vAlign w:val="center"/>
            <w:hideMark/>
          </w:tcPr>
          <w:p w14:paraId="2CB641E8" w14:textId="1DBA2783"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310</w:t>
            </w:r>
          </w:p>
        </w:tc>
        <w:tc>
          <w:tcPr>
            <w:tcW w:w="1000" w:type="dxa"/>
            <w:noWrap/>
            <w:vAlign w:val="center"/>
            <w:hideMark/>
          </w:tcPr>
          <w:p w14:paraId="670B3174" w14:textId="22964FE2"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270</w:t>
            </w:r>
          </w:p>
        </w:tc>
        <w:tc>
          <w:tcPr>
            <w:tcW w:w="1000" w:type="dxa"/>
            <w:noWrap/>
            <w:vAlign w:val="center"/>
            <w:hideMark/>
          </w:tcPr>
          <w:p w14:paraId="3375169E" w14:textId="7823D9D4"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230</w:t>
            </w:r>
          </w:p>
        </w:tc>
      </w:tr>
      <w:tr w:rsidR="00551249" w:rsidRPr="00A00670" w14:paraId="4BEADD80" w14:textId="77777777" w:rsidTr="00A6521F">
        <w:trPr>
          <w:trHeight w:val="345"/>
        </w:trPr>
        <w:tc>
          <w:tcPr>
            <w:tcW w:w="2740" w:type="dxa"/>
            <w:vAlign w:val="center"/>
            <w:hideMark/>
          </w:tcPr>
          <w:p w14:paraId="24AE310D" w14:textId="50533AB6"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Povprečna cena (€/m2)</w:t>
            </w:r>
          </w:p>
        </w:tc>
        <w:tc>
          <w:tcPr>
            <w:tcW w:w="1000" w:type="dxa"/>
            <w:noWrap/>
            <w:vAlign w:val="center"/>
            <w:hideMark/>
          </w:tcPr>
          <w:p w14:paraId="499C8568" w14:textId="3A354B63"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1.050</w:t>
            </w:r>
          </w:p>
        </w:tc>
        <w:tc>
          <w:tcPr>
            <w:tcW w:w="1000" w:type="dxa"/>
            <w:noWrap/>
            <w:vAlign w:val="center"/>
            <w:hideMark/>
          </w:tcPr>
          <w:p w14:paraId="14B6BDC7" w14:textId="109F0FB1"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1.130</w:t>
            </w:r>
          </w:p>
        </w:tc>
        <w:tc>
          <w:tcPr>
            <w:tcW w:w="1000" w:type="dxa"/>
            <w:noWrap/>
            <w:vAlign w:val="center"/>
            <w:hideMark/>
          </w:tcPr>
          <w:p w14:paraId="419B2A59" w14:textId="7A5F9739"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1.150</w:t>
            </w:r>
          </w:p>
        </w:tc>
        <w:tc>
          <w:tcPr>
            <w:tcW w:w="1000" w:type="dxa"/>
            <w:noWrap/>
            <w:vAlign w:val="center"/>
            <w:hideMark/>
          </w:tcPr>
          <w:p w14:paraId="78B474DE" w14:textId="75E4C35B"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1.230</w:t>
            </w:r>
          </w:p>
        </w:tc>
        <w:tc>
          <w:tcPr>
            <w:tcW w:w="1000" w:type="dxa"/>
            <w:noWrap/>
            <w:vAlign w:val="center"/>
            <w:hideMark/>
          </w:tcPr>
          <w:p w14:paraId="3DF44F00" w14:textId="57E960EA"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1.310</w:t>
            </w:r>
          </w:p>
        </w:tc>
        <w:tc>
          <w:tcPr>
            <w:tcW w:w="1000" w:type="dxa"/>
            <w:noWrap/>
            <w:vAlign w:val="center"/>
            <w:hideMark/>
          </w:tcPr>
          <w:p w14:paraId="608791A2" w14:textId="0A035D4B"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1.410</w:t>
            </w:r>
          </w:p>
        </w:tc>
      </w:tr>
      <w:tr w:rsidR="00551249" w:rsidRPr="00A00670" w14:paraId="505DEE78" w14:textId="77777777" w:rsidTr="00A6521F">
        <w:trPr>
          <w:trHeight w:val="300"/>
        </w:trPr>
        <w:tc>
          <w:tcPr>
            <w:tcW w:w="2740" w:type="dxa"/>
            <w:vAlign w:val="center"/>
            <w:hideMark/>
          </w:tcPr>
          <w:p w14:paraId="0C4055B0" w14:textId="3B912256"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Leto izgradnje (mediana)</w:t>
            </w:r>
          </w:p>
        </w:tc>
        <w:tc>
          <w:tcPr>
            <w:tcW w:w="1000" w:type="dxa"/>
            <w:noWrap/>
            <w:vAlign w:val="center"/>
            <w:hideMark/>
          </w:tcPr>
          <w:p w14:paraId="1B2400C7" w14:textId="0EB0705D"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1971</w:t>
            </w:r>
          </w:p>
        </w:tc>
        <w:tc>
          <w:tcPr>
            <w:tcW w:w="1000" w:type="dxa"/>
            <w:noWrap/>
            <w:vAlign w:val="center"/>
            <w:hideMark/>
          </w:tcPr>
          <w:p w14:paraId="4F3EA2D7" w14:textId="4558CA0D"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1970</w:t>
            </w:r>
          </w:p>
        </w:tc>
        <w:tc>
          <w:tcPr>
            <w:tcW w:w="1000" w:type="dxa"/>
            <w:noWrap/>
            <w:vAlign w:val="center"/>
            <w:hideMark/>
          </w:tcPr>
          <w:p w14:paraId="30F9F610" w14:textId="591BAB0B"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1969</w:t>
            </w:r>
          </w:p>
        </w:tc>
        <w:tc>
          <w:tcPr>
            <w:tcW w:w="1000" w:type="dxa"/>
            <w:noWrap/>
            <w:vAlign w:val="center"/>
            <w:hideMark/>
          </w:tcPr>
          <w:p w14:paraId="00618322" w14:textId="0ECA8ED9"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1969</w:t>
            </w:r>
          </w:p>
        </w:tc>
        <w:tc>
          <w:tcPr>
            <w:tcW w:w="1000" w:type="dxa"/>
            <w:noWrap/>
            <w:vAlign w:val="center"/>
            <w:hideMark/>
          </w:tcPr>
          <w:p w14:paraId="37F04F1F" w14:textId="4D955D43"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1972</w:t>
            </w:r>
          </w:p>
        </w:tc>
        <w:tc>
          <w:tcPr>
            <w:tcW w:w="1000" w:type="dxa"/>
            <w:noWrap/>
            <w:vAlign w:val="center"/>
            <w:hideMark/>
          </w:tcPr>
          <w:p w14:paraId="191832B4" w14:textId="6DFA2F0D"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1970</w:t>
            </w:r>
          </w:p>
        </w:tc>
      </w:tr>
      <w:tr w:rsidR="00551249" w:rsidRPr="00A00670" w14:paraId="35D6F85C" w14:textId="77777777" w:rsidTr="00A6521F">
        <w:trPr>
          <w:trHeight w:val="345"/>
        </w:trPr>
        <w:tc>
          <w:tcPr>
            <w:tcW w:w="2740" w:type="dxa"/>
            <w:vAlign w:val="center"/>
            <w:hideMark/>
          </w:tcPr>
          <w:p w14:paraId="3E924B95" w14:textId="41AFE044"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Uporabna površina (m2)</w:t>
            </w:r>
          </w:p>
        </w:tc>
        <w:tc>
          <w:tcPr>
            <w:tcW w:w="1000" w:type="dxa"/>
            <w:noWrap/>
            <w:vAlign w:val="center"/>
            <w:hideMark/>
          </w:tcPr>
          <w:p w14:paraId="0D6A72BE" w14:textId="68ACD117"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52</w:t>
            </w:r>
          </w:p>
        </w:tc>
        <w:tc>
          <w:tcPr>
            <w:tcW w:w="1000" w:type="dxa"/>
            <w:noWrap/>
            <w:vAlign w:val="center"/>
            <w:hideMark/>
          </w:tcPr>
          <w:p w14:paraId="47C08DCF" w14:textId="12924A54"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54</w:t>
            </w:r>
          </w:p>
        </w:tc>
        <w:tc>
          <w:tcPr>
            <w:tcW w:w="1000" w:type="dxa"/>
            <w:noWrap/>
            <w:vAlign w:val="center"/>
            <w:hideMark/>
          </w:tcPr>
          <w:p w14:paraId="410D0D2D" w14:textId="7F85A324"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51</w:t>
            </w:r>
          </w:p>
        </w:tc>
        <w:tc>
          <w:tcPr>
            <w:tcW w:w="1000" w:type="dxa"/>
            <w:noWrap/>
            <w:vAlign w:val="center"/>
            <w:hideMark/>
          </w:tcPr>
          <w:p w14:paraId="2CBF3C0F" w14:textId="10F7341E"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52</w:t>
            </w:r>
          </w:p>
        </w:tc>
        <w:tc>
          <w:tcPr>
            <w:tcW w:w="1000" w:type="dxa"/>
            <w:noWrap/>
            <w:vAlign w:val="center"/>
            <w:hideMark/>
          </w:tcPr>
          <w:p w14:paraId="3F6FD494" w14:textId="1E5EC5BF"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56</w:t>
            </w:r>
          </w:p>
        </w:tc>
        <w:tc>
          <w:tcPr>
            <w:tcW w:w="1000" w:type="dxa"/>
            <w:noWrap/>
            <w:vAlign w:val="center"/>
            <w:hideMark/>
          </w:tcPr>
          <w:p w14:paraId="403B1665" w14:textId="68418F6B"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52</w:t>
            </w:r>
          </w:p>
        </w:tc>
      </w:tr>
      <w:tr w:rsidR="00551249" w:rsidRPr="00A00670" w14:paraId="7C630BD1" w14:textId="77777777" w:rsidTr="00A6521F">
        <w:trPr>
          <w:trHeight w:val="300"/>
        </w:trPr>
        <w:tc>
          <w:tcPr>
            <w:tcW w:w="2740" w:type="dxa"/>
            <w:noWrap/>
            <w:vAlign w:val="center"/>
            <w:hideMark/>
          </w:tcPr>
          <w:p w14:paraId="1302A8D5" w14:textId="33C25BD2" w:rsidR="00551249" w:rsidRPr="00A00670" w:rsidRDefault="00551249" w:rsidP="00551249">
            <w:pPr>
              <w:jc w:val="both"/>
              <w:rPr>
                <w:rFonts w:ascii="Calibri" w:eastAsia="Times New Roman" w:hAnsi="Calibri" w:cs="Calibri"/>
                <w:b/>
                <w:bCs/>
                <w:color w:val="000000"/>
                <w:lang w:eastAsia="sl-SI"/>
              </w:rPr>
            </w:pPr>
            <w:r w:rsidRPr="00A00670">
              <w:rPr>
                <w:rFonts w:ascii="Calibri" w:hAnsi="Calibri" w:cs="Calibri"/>
                <w:b/>
                <w:bCs/>
                <w:color w:val="000000"/>
              </w:rPr>
              <w:t>KRANJ</w:t>
            </w:r>
          </w:p>
        </w:tc>
        <w:tc>
          <w:tcPr>
            <w:tcW w:w="1000" w:type="dxa"/>
            <w:noWrap/>
            <w:vAlign w:val="center"/>
            <w:hideMark/>
          </w:tcPr>
          <w:p w14:paraId="6813AAD3" w14:textId="13B2C594"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558D4A60" w14:textId="125D018B"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286B2A08" w14:textId="44DF2E1C"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323830A0" w14:textId="241AA909"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30AE3B0C" w14:textId="2928FFBA"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271C1BCB" w14:textId="5647AE10"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r>
      <w:tr w:rsidR="00551249" w:rsidRPr="00A00670" w14:paraId="34E5437A" w14:textId="77777777" w:rsidTr="00A6521F">
        <w:trPr>
          <w:trHeight w:val="300"/>
        </w:trPr>
        <w:tc>
          <w:tcPr>
            <w:tcW w:w="2740" w:type="dxa"/>
            <w:vAlign w:val="center"/>
            <w:hideMark/>
          </w:tcPr>
          <w:p w14:paraId="7EC93F4B" w14:textId="31007FBC"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Velikost vzorca</w:t>
            </w:r>
          </w:p>
        </w:tc>
        <w:tc>
          <w:tcPr>
            <w:tcW w:w="1000" w:type="dxa"/>
            <w:noWrap/>
            <w:vAlign w:val="center"/>
            <w:hideMark/>
          </w:tcPr>
          <w:p w14:paraId="098E0F85" w14:textId="26660803"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177</w:t>
            </w:r>
          </w:p>
        </w:tc>
        <w:tc>
          <w:tcPr>
            <w:tcW w:w="1000" w:type="dxa"/>
            <w:noWrap/>
            <w:vAlign w:val="center"/>
            <w:hideMark/>
          </w:tcPr>
          <w:p w14:paraId="29F60AC1" w14:textId="573803D3"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225</w:t>
            </w:r>
          </w:p>
        </w:tc>
        <w:tc>
          <w:tcPr>
            <w:tcW w:w="1000" w:type="dxa"/>
            <w:noWrap/>
            <w:vAlign w:val="center"/>
            <w:hideMark/>
          </w:tcPr>
          <w:p w14:paraId="5F0752BF" w14:textId="29F1BC49"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200</w:t>
            </w:r>
          </w:p>
        </w:tc>
        <w:tc>
          <w:tcPr>
            <w:tcW w:w="1000" w:type="dxa"/>
            <w:noWrap/>
            <w:vAlign w:val="center"/>
            <w:hideMark/>
          </w:tcPr>
          <w:p w14:paraId="36FE51EA" w14:textId="25259B2A"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190</w:t>
            </w:r>
          </w:p>
        </w:tc>
        <w:tc>
          <w:tcPr>
            <w:tcW w:w="1000" w:type="dxa"/>
            <w:noWrap/>
            <w:vAlign w:val="center"/>
            <w:hideMark/>
          </w:tcPr>
          <w:p w14:paraId="55994065" w14:textId="59C98827"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182</w:t>
            </w:r>
          </w:p>
        </w:tc>
        <w:tc>
          <w:tcPr>
            <w:tcW w:w="1000" w:type="dxa"/>
            <w:noWrap/>
            <w:vAlign w:val="center"/>
            <w:hideMark/>
          </w:tcPr>
          <w:p w14:paraId="734839FB" w14:textId="787D09AC"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161</w:t>
            </w:r>
          </w:p>
        </w:tc>
      </w:tr>
      <w:tr w:rsidR="00551249" w:rsidRPr="00A00670" w14:paraId="1F6C775B" w14:textId="77777777" w:rsidTr="00A6521F">
        <w:trPr>
          <w:trHeight w:val="345"/>
        </w:trPr>
        <w:tc>
          <w:tcPr>
            <w:tcW w:w="2740" w:type="dxa"/>
            <w:vAlign w:val="center"/>
            <w:hideMark/>
          </w:tcPr>
          <w:p w14:paraId="5A5A6B5F" w14:textId="57029842"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Povprečna cena (€/m2)</w:t>
            </w:r>
          </w:p>
        </w:tc>
        <w:tc>
          <w:tcPr>
            <w:tcW w:w="1000" w:type="dxa"/>
            <w:noWrap/>
            <w:vAlign w:val="center"/>
            <w:hideMark/>
          </w:tcPr>
          <w:p w14:paraId="59D6035C" w14:textId="75FD61C0"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1.560</w:t>
            </w:r>
          </w:p>
        </w:tc>
        <w:tc>
          <w:tcPr>
            <w:tcW w:w="1000" w:type="dxa"/>
            <w:noWrap/>
            <w:vAlign w:val="center"/>
            <w:hideMark/>
          </w:tcPr>
          <w:p w14:paraId="024BD730" w14:textId="3E023538"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1.610</w:t>
            </w:r>
          </w:p>
        </w:tc>
        <w:tc>
          <w:tcPr>
            <w:tcW w:w="1000" w:type="dxa"/>
            <w:noWrap/>
            <w:vAlign w:val="center"/>
            <w:hideMark/>
          </w:tcPr>
          <w:p w14:paraId="328AFC18" w14:textId="73AE2D53"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1.700</w:t>
            </w:r>
          </w:p>
        </w:tc>
        <w:tc>
          <w:tcPr>
            <w:tcW w:w="1000" w:type="dxa"/>
            <w:noWrap/>
            <w:vAlign w:val="center"/>
            <w:hideMark/>
          </w:tcPr>
          <w:p w14:paraId="18F5EC48" w14:textId="33BF6A2D"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1.840</w:t>
            </w:r>
          </w:p>
        </w:tc>
        <w:tc>
          <w:tcPr>
            <w:tcW w:w="1000" w:type="dxa"/>
            <w:noWrap/>
            <w:vAlign w:val="center"/>
            <w:hideMark/>
          </w:tcPr>
          <w:p w14:paraId="2D763C2E" w14:textId="5E8E604D"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2.040</w:t>
            </w:r>
          </w:p>
        </w:tc>
        <w:tc>
          <w:tcPr>
            <w:tcW w:w="1000" w:type="dxa"/>
            <w:noWrap/>
            <w:vAlign w:val="center"/>
            <w:hideMark/>
          </w:tcPr>
          <w:p w14:paraId="2BEF8921" w14:textId="115F9AD1"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2.180</w:t>
            </w:r>
          </w:p>
        </w:tc>
      </w:tr>
      <w:tr w:rsidR="00551249" w:rsidRPr="00A00670" w14:paraId="75D7867D" w14:textId="77777777" w:rsidTr="00A6521F">
        <w:trPr>
          <w:trHeight w:val="300"/>
        </w:trPr>
        <w:tc>
          <w:tcPr>
            <w:tcW w:w="2740" w:type="dxa"/>
            <w:vAlign w:val="center"/>
            <w:hideMark/>
          </w:tcPr>
          <w:p w14:paraId="1F2B92A9" w14:textId="234928B1"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Leto izgradnje (mediana)</w:t>
            </w:r>
          </w:p>
        </w:tc>
        <w:tc>
          <w:tcPr>
            <w:tcW w:w="1000" w:type="dxa"/>
            <w:noWrap/>
            <w:vAlign w:val="center"/>
            <w:hideMark/>
          </w:tcPr>
          <w:p w14:paraId="65A62480" w14:textId="5EE08706"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1974</w:t>
            </w:r>
          </w:p>
        </w:tc>
        <w:tc>
          <w:tcPr>
            <w:tcW w:w="1000" w:type="dxa"/>
            <w:noWrap/>
            <w:vAlign w:val="center"/>
            <w:hideMark/>
          </w:tcPr>
          <w:p w14:paraId="31D32ACD" w14:textId="7977D753"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1974</w:t>
            </w:r>
          </w:p>
        </w:tc>
        <w:tc>
          <w:tcPr>
            <w:tcW w:w="1000" w:type="dxa"/>
            <w:noWrap/>
            <w:vAlign w:val="center"/>
            <w:hideMark/>
          </w:tcPr>
          <w:p w14:paraId="0D1DCE52" w14:textId="78F69464"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1972</w:t>
            </w:r>
          </w:p>
        </w:tc>
        <w:tc>
          <w:tcPr>
            <w:tcW w:w="1000" w:type="dxa"/>
            <w:noWrap/>
            <w:vAlign w:val="center"/>
            <w:hideMark/>
          </w:tcPr>
          <w:p w14:paraId="4B80DD14" w14:textId="0DF38353"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1973</w:t>
            </w:r>
          </w:p>
        </w:tc>
        <w:tc>
          <w:tcPr>
            <w:tcW w:w="1000" w:type="dxa"/>
            <w:noWrap/>
            <w:vAlign w:val="center"/>
            <w:hideMark/>
          </w:tcPr>
          <w:p w14:paraId="29AE386F" w14:textId="282D9AFB"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1974</w:t>
            </w:r>
          </w:p>
        </w:tc>
        <w:tc>
          <w:tcPr>
            <w:tcW w:w="1000" w:type="dxa"/>
            <w:noWrap/>
            <w:vAlign w:val="center"/>
            <w:hideMark/>
          </w:tcPr>
          <w:p w14:paraId="1BB7D0F2" w14:textId="12E0E725"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1976</w:t>
            </w:r>
          </w:p>
        </w:tc>
      </w:tr>
      <w:tr w:rsidR="00551249" w:rsidRPr="00A00670" w14:paraId="6466050C" w14:textId="77777777" w:rsidTr="00A6521F">
        <w:trPr>
          <w:trHeight w:val="345"/>
        </w:trPr>
        <w:tc>
          <w:tcPr>
            <w:tcW w:w="2740" w:type="dxa"/>
            <w:vAlign w:val="center"/>
            <w:hideMark/>
          </w:tcPr>
          <w:p w14:paraId="684F5A8D" w14:textId="5CD16648"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Uporabna površina (m2)</w:t>
            </w:r>
          </w:p>
        </w:tc>
        <w:tc>
          <w:tcPr>
            <w:tcW w:w="1000" w:type="dxa"/>
            <w:noWrap/>
            <w:vAlign w:val="center"/>
            <w:hideMark/>
          </w:tcPr>
          <w:p w14:paraId="4751B7DA" w14:textId="0AD1715C"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49</w:t>
            </w:r>
          </w:p>
        </w:tc>
        <w:tc>
          <w:tcPr>
            <w:tcW w:w="1000" w:type="dxa"/>
            <w:noWrap/>
            <w:vAlign w:val="center"/>
            <w:hideMark/>
          </w:tcPr>
          <w:p w14:paraId="2506FDDD" w14:textId="50CD05F3"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50</w:t>
            </w:r>
          </w:p>
        </w:tc>
        <w:tc>
          <w:tcPr>
            <w:tcW w:w="1000" w:type="dxa"/>
            <w:noWrap/>
            <w:vAlign w:val="center"/>
            <w:hideMark/>
          </w:tcPr>
          <w:p w14:paraId="1845CEB2" w14:textId="555FAA12"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52</w:t>
            </w:r>
          </w:p>
        </w:tc>
        <w:tc>
          <w:tcPr>
            <w:tcW w:w="1000" w:type="dxa"/>
            <w:noWrap/>
            <w:vAlign w:val="center"/>
            <w:hideMark/>
          </w:tcPr>
          <w:p w14:paraId="49173A1C" w14:textId="3BC340F2"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53</w:t>
            </w:r>
          </w:p>
        </w:tc>
        <w:tc>
          <w:tcPr>
            <w:tcW w:w="1000" w:type="dxa"/>
            <w:noWrap/>
            <w:vAlign w:val="center"/>
            <w:hideMark/>
          </w:tcPr>
          <w:p w14:paraId="1B1D2DE6" w14:textId="1AA2B25B"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53</w:t>
            </w:r>
          </w:p>
        </w:tc>
        <w:tc>
          <w:tcPr>
            <w:tcW w:w="1000" w:type="dxa"/>
            <w:noWrap/>
            <w:vAlign w:val="center"/>
            <w:hideMark/>
          </w:tcPr>
          <w:p w14:paraId="49768F58" w14:textId="31B55868"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56</w:t>
            </w:r>
          </w:p>
        </w:tc>
      </w:tr>
      <w:tr w:rsidR="00551249" w:rsidRPr="00A00670" w14:paraId="0B93B7CD" w14:textId="77777777" w:rsidTr="00A6521F">
        <w:trPr>
          <w:trHeight w:val="300"/>
        </w:trPr>
        <w:tc>
          <w:tcPr>
            <w:tcW w:w="2740" w:type="dxa"/>
            <w:noWrap/>
            <w:vAlign w:val="center"/>
            <w:hideMark/>
          </w:tcPr>
          <w:p w14:paraId="38DC94A5" w14:textId="3F1087A4" w:rsidR="00551249" w:rsidRPr="00A00670" w:rsidRDefault="00551249" w:rsidP="00551249">
            <w:pPr>
              <w:jc w:val="both"/>
              <w:rPr>
                <w:rFonts w:ascii="Calibri" w:eastAsia="Times New Roman" w:hAnsi="Calibri" w:cs="Calibri"/>
                <w:b/>
                <w:bCs/>
                <w:color w:val="000000"/>
                <w:lang w:eastAsia="sl-SI"/>
              </w:rPr>
            </w:pPr>
            <w:r w:rsidRPr="00A00670">
              <w:rPr>
                <w:rFonts w:ascii="Calibri" w:hAnsi="Calibri" w:cs="Calibri"/>
                <w:b/>
                <w:bCs/>
                <w:color w:val="000000"/>
              </w:rPr>
              <w:t>KOPER</w:t>
            </w:r>
          </w:p>
        </w:tc>
        <w:tc>
          <w:tcPr>
            <w:tcW w:w="1000" w:type="dxa"/>
            <w:noWrap/>
            <w:vAlign w:val="center"/>
            <w:hideMark/>
          </w:tcPr>
          <w:p w14:paraId="013F5E61" w14:textId="74B6C77E"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771459F2" w14:textId="3B196CEB"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62CB8748" w14:textId="5BF4171C"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3511CFF7" w14:textId="0A487D03"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07640569" w14:textId="3F1F040F"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233035FC" w14:textId="20726C38"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r>
      <w:tr w:rsidR="00551249" w:rsidRPr="00A00670" w14:paraId="47A8571A" w14:textId="77777777" w:rsidTr="00A6521F">
        <w:trPr>
          <w:trHeight w:val="300"/>
        </w:trPr>
        <w:tc>
          <w:tcPr>
            <w:tcW w:w="2740" w:type="dxa"/>
            <w:vAlign w:val="center"/>
            <w:hideMark/>
          </w:tcPr>
          <w:p w14:paraId="3CFEF03D" w14:textId="1C567F81"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Velikost vzorca</w:t>
            </w:r>
          </w:p>
        </w:tc>
        <w:tc>
          <w:tcPr>
            <w:tcW w:w="1000" w:type="dxa"/>
            <w:noWrap/>
            <w:vAlign w:val="center"/>
            <w:hideMark/>
          </w:tcPr>
          <w:p w14:paraId="1B5339EA" w14:textId="16653A14"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172</w:t>
            </w:r>
          </w:p>
        </w:tc>
        <w:tc>
          <w:tcPr>
            <w:tcW w:w="1000" w:type="dxa"/>
            <w:noWrap/>
            <w:vAlign w:val="center"/>
            <w:hideMark/>
          </w:tcPr>
          <w:p w14:paraId="62E1931B" w14:textId="5CF70EC9"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230</w:t>
            </w:r>
          </w:p>
        </w:tc>
        <w:tc>
          <w:tcPr>
            <w:tcW w:w="1000" w:type="dxa"/>
            <w:noWrap/>
            <w:vAlign w:val="center"/>
            <w:hideMark/>
          </w:tcPr>
          <w:p w14:paraId="02D56F7E" w14:textId="345F0C41"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184</w:t>
            </w:r>
          </w:p>
        </w:tc>
        <w:tc>
          <w:tcPr>
            <w:tcW w:w="1000" w:type="dxa"/>
            <w:noWrap/>
            <w:vAlign w:val="center"/>
            <w:hideMark/>
          </w:tcPr>
          <w:p w14:paraId="5122F1D7" w14:textId="0770C666"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148</w:t>
            </w:r>
          </w:p>
        </w:tc>
        <w:tc>
          <w:tcPr>
            <w:tcW w:w="1000" w:type="dxa"/>
            <w:noWrap/>
            <w:vAlign w:val="center"/>
            <w:hideMark/>
          </w:tcPr>
          <w:p w14:paraId="44A4A05F" w14:textId="70840888"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179</w:t>
            </w:r>
          </w:p>
        </w:tc>
        <w:tc>
          <w:tcPr>
            <w:tcW w:w="1000" w:type="dxa"/>
            <w:noWrap/>
            <w:vAlign w:val="center"/>
            <w:hideMark/>
          </w:tcPr>
          <w:p w14:paraId="7AA93021" w14:textId="31C17413"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134</w:t>
            </w:r>
          </w:p>
        </w:tc>
      </w:tr>
      <w:tr w:rsidR="00551249" w:rsidRPr="00A00670" w14:paraId="592DB015" w14:textId="77777777" w:rsidTr="00A6521F">
        <w:trPr>
          <w:trHeight w:val="345"/>
        </w:trPr>
        <w:tc>
          <w:tcPr>
            <w:tcW w:w="2740" w:type="dxa"/>
            <w:vAlign w:val="center"/>
            <w:hideMark/>
          </w:tcPr>
          <w:p w14:paraId="202256B1" w14:textId="3458229E"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Povprečna cena (€/m2)</w:t>
            </w:r>
          </w:p>
        </w:tc>
        <w:tc>
          <w:tcPr>
            <w:tcW w:w="1000" w:type="dxa"/>
            <w:noWrap/>
            <w:vAlign w:val="center"/>
            <w:hideMark/>
          </w:tcPr>
          <w:p w14:paraId="60647A66" w14:textId="6B5896D7"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1.810</w:t>
            </w:r>
          </w:p>
        </w:tc>
        <w:tc>
          <w:tcPr>
            <w:tcW w:w="1000" w:type="dxa"/>
            <w:noWrap/>
            <w:vAlign w:val="center"/>
            <w:hideMark/>
          </w:tcPr>
          <w:p w14:paraId="09B87A71" w14:textId="463693A8"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1.970</w:t>
            </w:r>
          </w:p>
        </w:tc>
        <w:tc>
          <w:tcPr>
            <w:tcW w:w="1000" w:type="dxa"/>
            <w:noWrap/>
            <w:vAlign w:val="center"/>
            <w:hideMark/>
          </w:tcPr>
          <w:p w14:paraId="053DFD4C" w14:textId="345A0029"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2.110</w:t>
            </w:r>
          </w:p>
        </w:tc>
        <w:tc>
          <w:tcPr>
            <w:tcW w:w="1000" w:type="dxa"/>
            <w:noWrap/>
            <w:vAlign w:val="center"/>
            <w:hideMark/>
          </w:tcPr>
          <w:p w14:paraId="362B0196" w14:textId="4DA43888"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2.310</w:t>
            </w:r>
          </w:p>
        </w:tc>
        <w:tc>
          <w:tcPr>
            <w:tcW w:w="1000" w:type="dxa"/>
            <w:noWrap/>
            <w:vAlign w:val="center"/>
            <w:hideMark/>
          </w:tcPr>
          <w:p w14:paraId="2AE89B14" w14:textId="609A24E7"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2.440</w:t>
            </w:r>
          </w:p>
        </w:tc>
        <w:tc>
          <w:tcPr>
            <w:tcW w:w="1000" w:type="dxa"/>
            <w:noWrap/>
            <w:vAlign w:val="center"/>
            <w:hideMark/>
          </w:tcPr>
          <w:p w14:paraId="389221F6" w14:textId="095E9B22"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2.380</w:t>
            </w:r>
          </w:p>
        </w:tc>
      </w:tr>
      <w:tr w:rsidR="00551249" w:rsidRPr="00A00670" w14:paraId="5793DCEA" w14:textId="77777777" w:rsidTr="00A6521F">
        <w:trPr>
          <w:trHeight w:val="300"/>
        </w:trPr>
        <w:tc>
          <w:tcPr>
            <w:tcW w:w="2740" w:type="dxa"/>
            <w:vAlign w:val="center"/>
            <w:hideMark/>
          </w:tcPr>
          <w:p w14:paraId="48C90E0A" w14:textId="6F5EF2F5"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Leto izgradnje (mediana)</w:t>
            </w:r>
          </w:p>
        </w:tc>
        <w:tc>
          <w:tcPr>
            <w:tcW w:w="1000" w:type="dxa"/>
            <w:noWrap/>
            <w:vAlign w:val="center"/>
            <w:hideMark/>
          </w:tcPr>
          <w:p w14:paraId="642C6B80" w14:textId="752E03E1"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1975</w:t>
            </w:r>
          </w:p>
        </w:tc>
        <w:tc>
          <w:tcPr>
            <w:tcW w:w="1000" w:type="dxa"/>
            <w:noWrap/>
            <w:vAlign w:val="center"/>
            <w:hideMark/>
          </w:tcPr>
          <w:p w14:paraId="1724ED7C" w14:textId="1D2CCD72"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1975</w:t>
            </w:r>
          </w:p>
        </w:tc>
        <w:tc>
          <w:tcPr>
            <w:tcW w:w="1000" w:type="dxa"/>
            <w:noWrap/>
            <w:vAlign w:val="center"/>
            <w:hideMark/>
          </w:tcPr>
          <w:p w14:paraId="7EB77BAB" w14:textId="517E2ABF"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1975</w:t>
            </w:r>
          </w:p>
        </w:tc>
        <w:tc>
          <w:tcPr>
            <w:tcW w:w="1000" w:type="dxa"/>
            <w:noWrap/>
            <w:vAlign w:val="center"/>
            <w:hideMark/>
          </w:tcPr>
          <w:p w14:paraId="60105637" w14:textId="1B6C2C5F"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1972</w:t>
            </w:r>
          </w:p>
        </w:tc>
        <w:tc>
          <w:tcPr>
            <w:tcW w:w="1000" w:type="dxa"/>
            <w:noWrap/>
            <w:vAlign w:val="center"/>
            <w:hideMark/>
          </w:tcPr>
          <w:p w14:paraId="6DC86900" w14:textId="2B8F9E34"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1976</w:t>
            </w:r>
          </w:p>
        </w:tc>
        <w:tc>
          <w:tcPr>
            <w:tcW w:w="1000" w:type="dxa"/>
            <w:noWrap/>
            <w:vAlign w:val="center"/>
            <w:hideMark/>
          </w:tcPr>
          <w:p w14:paraId="3C7109DB" w14:textId="1F63B9DE"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1974</w:t>
            </w:r>
          </w:p>
        </w:tc>
      </w:tr>
      <w:tr w:rsidR="00551249" w:rsidRPr="00A00670" w14:paraId="0407A124" w14:textId="77777777" w:rsidTr="00A6521F">
        <w:trPr>
          <w:trHeight w:val="345"/>
        </w:trPr>
        <w:tc>
          <w:tcPr>
            <w:tcW w:w="2740" w:type="dxa"/>
            <w:vAlign w:val="center"/>
            <w:hideMark/>
          </w:tcPr>
          <w:p w14:paraId="5E8EEC5A" w14:textId="1AA0E8D9"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Uporabna površina (m2)</w:t>
            </w:r>
          </w:p>
        </w:tc>
        <w:tc>
          <w:tcPr>
            <w:tcW w:w="1000" w:type="dxa"/>
            <w:noWrap/>
            <w:vAlign w:val="center"/>
            <w:hideMark/>
          </w:tcPr>
          <w:p w14:paraId="2C0E0F64" w14:textId="0125B251"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53</w:t>
            </w:r>
          </w:p>
        </w:tc>
        <w:tc>
          <w:tcPr>
            <w:tcW w:w="1000" w:type="dxa"/>
            <w:noWrap/>
            <w:vAlign w:val="center"/>
            <w:hideMark/>
          </w:tcPr>
          <w:p w14:paraId="327128E0" w14:textId="2C7A69E7"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51</w:t>
            </w:r>
          </w:p>
        </w:tc>
        <w:tc>
          <w:tcPr>
            <w:tcW w:w="1000" w:type="dxa"/>
            <w:noWrap/>
            <w:vAlign w:val="center"/>
            <w:hideMark/>
          </w:tcPr>
          <w:p w14:paraId="3A39E008" w14:textId="272E3D2F"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52</w:t>
            </w:r>
          </w:p>
        </w:tc>
        <w:tc>
          <w:tcPr>
            <w:tcW w:w="1000" w:type="dxa"/>
            <w:noWrap/>
            <w:vAlign w:val="center"/>
            <w:hideMark/>
          </w:tcPr>
          <w:p w14:paraId="595477C2" w14:textId="4C53F5CE"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54</w:t>
            </w:r>
          </w:p>
        </w:tc>
        <w:tc>
          <w:tcPr>
            <w:tcW w:w="1000" w:type="dxa"/>
            <w:noWrap/>
            <w:vAlign w:val="center"/>
            <w:hideMark/>
          </w:tcPr>
          <w:p w14:paraId="18833A0D" w14:textId="2A590837"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58</w:t>
            </w:r>
          </w:p>
        </w:tc>
        <w:tc>
          <w:tcPr>
            <w:tcW w:w="1000" w:type="dxa"/>
            <w:noWrap/>
            <w:vAlign w:val="center"/>
            <w:hideMark/>
          </w:tcPr>
          <w:p w14:paraId="7D56BFC3" w14:textId="0151E38A"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59</w:t>
            </w:r>
          </w:p>
        </w:tc>
      </w:tr>
      <w:tr w:rsidR="00551249" w:rsidRPr="00A00670" w14:paraId="3B0CE685" w14:textId="77777777" w:rsidTr="00A6521F">
        <w:trPr>
          <w:trHeight w:val="300"/>
        </w:trPr>
        <w:tc>
          <w:tcPr>
            <w:tcW w:w="2740" w:type="dxa"/>
            <w:noWrap/>
            <w:vAlign w:val="center"/>
            <w:hideMark/>
          </w:tcPr>
          <w:p w14:paraId="33BD9AF3" w14:textId="47641523" w:rsidR="00551249" w:rsidRPr="00A00670" w:rsidRDefault="00551249" w:rsidP="00551249">
            <w:pPr>
              <w:jc w:val="both"/>
              <w:rPr>
                <w:rFonts w:ascii="Calibri" w:eastAsia="Times New Roman" w:hAnsi="Calibri" w:cs="Calibri"/>
                <w:b/>
                <w:bCs/>
                <w:color w:val="000000"/>
                <w:lang w:eastAsia="sl-SI"/>
              </w:rPr>
            </w:pPr>
            <w:r w:rsidRPr="00A00670">
              <w:rPr>
                <w:rFonts w:ascii="Calibri" w:hAnsi="Calibri" w:cs="Calibri"/>
                <w:b/>
                <w:bCs/>
                <w:color w:val="000000"/>
              </w:rPr>
              <w:t>OBALA BREZ KOPRA</w:t>
            </w:r>
          </w:p>
        </w:tc>
        <w:tc>
          <w:tcPr>
            <w:tcW w:w="1000" w:type="dxa"/>
            <w:noWrap/>
            <w:vAlign w:val="center"/>
            <w:hideMark/>
          </w:tcPr>
          <w:p w14:paraId="0BEE30F3" w14:textId="3A74841D"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4BD8977E" w14:textId="6587D91B"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4F38A5F9" w14:textId="5CFCDA47"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4B441C32" w14:textId="4450100D"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0EFA82BC" w14:textId="4F07228A"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c>
          <w:tcPr>
            <w:tcW w:w="1000" w:type="dxa"/>
            <w:noWrap/>
            <w:vAlign w:val="center"/>
            <w:hideMark/>
          </w:tcPr>
          <w:p w14:paraId="3B760E3C" w14:textId="1D9CB076"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 </w:t>
            </w:r>
          </w:p>
        </w:tc>
      </w:tr>
      <w:tr w:rsidR="00551249" w:rsidRPr="00A00670" w14:paraId="5AABFEF4" w14:textId="77777777" w:rsidTr="00A6521F">
        <w:trPr>
          <w:trHeight w:val="300"/>
        </w:trPr>
        <w:tc>
          <w:tcPr>
            <w:tcW w:w="2740" w:type="dxa"/>
            <w:vAlign w:val="center"/>
            <w:hideMark/>
          </w:tcPr>
          <w:p w14:paraId="78F4442B" w14:textId="37D9324B"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Velikost vzorca</w:t>
            </w:r>
          </w:p>
        </w:tc>
        <w:tc>
          <w:tcPr>
            <w:tcW w:w="1000" w:type="dxa"/>
            <w:noWrap/>
            <w:vAlign w:val="center"/>
            <w:hideMark/>
          </w:tcPr>
          <w:p w14:paraId="4DE82D3E" w14:textId="074AFF11"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268</w:t>
            </w:r>
          </w:p>
        </w:tc>
        <w:tc>
          <w:tcPr>
            <w:tcW w:w="1000" w:type="dxa"/>
            <w:noWrap/>
            <w:vAlign w:val="center"/>
            <w:hideMark/>
          </w:tcPr>
          <w:p w14:paraId="5F1C74AB" w14:textId="0A1E0A24"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256</w:t>
            </w:r>
          </w:p>
        </w:tc>
        <w:tc>
          <w:tcPr>
            <w:tcW w:w="1000" w:type="dxa"/>
            <w:noWrap/>
            <w:vAlign w:val="center"/>
            <w:hideMark/>
          </w:tcPr>
          <w:p w14:paraId="61B4B975" w14:textId="33D27B8E"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267</w:t>
            </w:r>
          </w:p>
        </w:tc>
        <w:tc>
          <w:tcPr>
            <w:tcW w:w="1000" w:type="dxa"/>
            <w:noWrap/>
            <w:vAlign w:val="center"/>
            <w:hideMark/>
          </w:tcPr>
          <w:p w14:paraId="6D3BA893" w14:textId="5EBD56D3"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256</w:t>
            </w:r>
          </w:p>
        </w:tc>
        <w:tc>
          <w:tcPr>
            <w:tcW w:w="1000" w:type="dxa"/>
            <w:noWrap/>
            <w:vAlign w:val="center"/>
            <w:hideMark/>
          </w:tcPr>
          <w:p w14:paraId="24BEFEE6" w14:textId="6A630440"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222</w:t>
            </w:r>
          </w:p>
        </w:tc>
        <w:tc>
          <w:tcPr>
            <w:tcW w:w="1000" w:type="dxa"/>
            <w:noWrap/>
            <w:vAlign w:val="center"/>
            <w:hideMark/>
          </w:tcPr>
          <w:p w14:paraId="4E457BD2" w14:textId="6A9D30BE"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163</w:t>
            </w:r>
          </w:p>
        </w:tc>
      </w:tr>
      <w:tr w:rsidR="00551249" w:rsidRPr="00A00670" w14:paraId="2AA2784B" w14:textId="77777777" w:rsidTr="00A6521F">
        <w:trPr>
          <w:trHeight w:val="345"/>
        </w:trPr>
        <w:tc>
          <w:tcPr>
            <w:tcW w:w="2740" w:type="dxa"/>
            <w:vAlign w:val="center"/>
            <w:hideMark/>
          </w:tcPr>
          <w:p w14:paraId="1360C46A" w14:textId="2EC9D7DA"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Povprečna cena (€/m2)</w:t>
            </w:r>
          </w:p>
        </w:tc>
        <w:tc>
          <w:tcPr>
            <w:tcW w:w="1000" w:type="dxa"/>
            <w:noWrap/>
            <w:vAlign w:val="center"/>
            <w:hideMark/>
          </w:tcPr>
          <w:p w14:paraId="025BCDF5" w14:textId="653F8E4D"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2.130</w:t>
            </w:r>
          </w:p>
        </w:tc>
        <w:tc>
          <w:tcPr>
            <w:tcW w:w="1000" w:type="dxa"/>
            <w:noWrap/>
            <w:vAlign w:val="center"/>
            <w:hideMark/>
          </w:tcPr>
          <w:p w14:paraId="16F8F35E" w14:textId="72F43E80"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2.260</w:t>
            </w:r>
          </w:p>
        </w:tc>
        <w:tc>
          <w:tcPr>
            <w:tcW w:w="1000" w:type="dxa"/>
            <w:noWrap/>
            <w:vAlign w:val="center"/>
            <w:hideMark/>
          </w:tcPr>
          <w:p w14:paraId="679D1BF0" w14:textId="1253EDD9"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2.330</w:t>
            </w:r>
          </w:p>
        </w:tc>
        <w:tc>
          <w:tcPr>
            <w:tcW w:w="1000" w:type="dxa"/>
            <w:noWrap/>
            <w:vAlign w:val="center"/>
            <w:hideMark/>
          </w:tcPr>
          <w:p w14:paraId="1145BF46" w14:textId="5E40EF08"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2.470</w:t>
            </w:r>
          </w:p>
        </w:tc>
        <w:tc>
          <w:tcPr>
            <w:tcW w:w="1000" w:type="dxa"/>
            <w:noWrap/>
            <w:vAlign w:val="center"/>
            <w:hideMark/>
          </w:tcPr>
          <w:p w14:paraId="3BC7A849" w14:textId="4BA4E414"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2.550</w:t>
            </w:r>
          </w:p>
        </w:tc>
        <w:tc>
          <w:tcPr>
            <w:tcW w:w="1000" w:type="dxa"/>
            <w:noWrap/>
            <w:vAlign w:val="center"/>
            <w:hideMark/>
          </w:tcPr>
          <w:p w14:paraId="758FD9C6" w14:textId="079CED6E" w:rsidR="00551249" w:rsidRPr="00A00670" w:rsidRDefault="00551249" w:rsidP="00551249">
            <w:pPr>
              <w:jc w:val="right"/>
              <w:rPr>
                <w:rFonts w:ascii="Calibri" w:eastAsia="Times New Roman" w:hAnsi="Calibri" w:cs="Calibri"/>
                <w:b/>
                <w:bCs/>
                <w:color w:val="000000"/>
                <w:lang w:eastAsia="sl-SI"/>
              </w:rPr>
            </w:pPr>
            <w:r w:rsidRPr="00A00670">
              <w:rPr>
                <w:rFonts w:ascii="Calibri" w:hAnsi="Calibri" w:cs="Calibri"/>
                <w:b/>
                <w:bCs/>
                <w:color w:val="000000"/>
              </w:rPr>
              <w:t>2.720</w:t>
            </w:r>
          </w:p>
        </w:tc>
      </w:tr>
      <w:tr w:rsidR="00551249" w:rsidRPr="00A00670" w14:paraId="74E342F4" w14:textId="77777777" w:rsidTr="00A6521F">
        <w:trPr>
          <w:trHeight w:val="300"/>
        </w:trPr>
        <w:tc>
          <w:tcPr>
            <w:tcW w:w="2740" w:type="dxa"/>
            <w:vAlign w:val="center"/>
            <w:hideMark/>
          </w:tcPr>
          <w:p w14:paraId="35ED965C" w14:textId="7492A351"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Leto izgradnje (mediana)</w:t>
            </w:r>
          </w:p>
        </w:tc>
        <w:tc>
          <w:tcPr>
            <w:tcW w:w="1000" w:type="dxa"/>
            <w:noWrap/>
            <w:vAlign w:val="center"/>
            <w:hideMark/>
          </w:tcPr>
          <w:p w14:paraId="76AE1B57" w14:textId="16225688"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1976</w:t>
            </w:r>
          </w:p>
        </w:tc>
        <w:tc>
          <w:tcPr>
            <w:tcW w:w="1000" w:type="dxa"/>
            <w:noWrap/>
            <w:vAlign w:val="center"/>
            <w:hideMark/>
          </w:tcPr>
          <w:p w14:paraId="105BC33B" w14:textId="425F6821"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1973</w:t>
            </w:r>
          </w:p>
        </w:tc>
        <w:tc>
          <w:tcPr>
            <w:tcW w:w="1000" w:type="dxa"/>
            <w:noWrap/>
            <w:vAlign w:val="center"/>
            <w:hideMark/>
          </w:tcPr>
          <w:p w14:paraId="2B5D7432" w14:textId="38F4A382"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1975</w:t>
            </w:r>
          </w:p>
        </w:tc>
        <w:tc>
          <w:tcPr>
            <w:tcW w:w="1000" w:type="dxa"/>
            <w:noWrap/>
            <w:vAlign w:val="center"/>
            <w:hideMark/>
          </w:tcPr>
          <w:p w14:paraId="3B3F59C3" w14:textId="32D1A59E"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1980</w:t>
            </w:r>
          </w:p>
        </w:tc>
        <w:tc>
          <w:tcPr>
            <w:tcW w:w="1000" w:type="dxa"/>
            <w:noWrap/>
            <w:vAlign w:val="center"/>
            <w:hideMark/>
          </w:tcPr>
          <w:p w14:paraId="08635F24" w14:textId="2A74BD7B"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1979</w:t>
            </w:r>
          </w:p>
        </w:tc>
        <w:tc>
          <w:tcPr>
            <w:tcW w:w="1000" w:type="dxa"/>
            <w:noWrap/>
            <w:vAlign w:val="center"/>
            <w:hideMark/>
          </w:tcPr>
          <w:p w14:paraId="67459EA0" w14:textId="224B5442"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1980</w:t>
            </w:r>
          </w:p>
        </w:tc>
      </w:tr>
      <w:tr w:rsidR="00551249" w:rsidRPr="00A00670" w14:paraId="1B6ED8D1" w14:textId="77777777" w:rsidTr="00A6521F">
        <w:trPr>
          <w:trHeight w:val="345"/>
        </w:trPr>
        <w:tc>
          <w:tcPr>
            <w:tcW w:w="2740" w:type="dxa"/>
            <w:vAlign w:val="center"/>
            <w:hideMark/>
          </w:tcPr>
          <w:p w14:paraId="4D8C7AE2" w14:textId="072771CD" w:rsidR="00551249" w:rsidRPr="00A00670" w:rsidRDefault="00551249" w:rsidP="00551249">
            <w:pPr>
              <w:jc w:val="both"/>
              <w:rPr>
                <w:rFonts w:ascii="Calibri" w:eastAsia="Times New Roman" w:hAnsi="Calibri" w:cs="Calibri"/>
                <w:color w:val="000000"/>
                <w:lang w:eastAsia="sl-SI"/>
              </w:rPr>
            </w:pPr>
            <w:r w:rsidRPr="00A00670">
              <w:rPr>
                <w:rFonts w:ascii="Calibri" w:hAnsi="Calibri" w:cs="Calibri"/>
                <w:color w:val="000000"/>
              </w:rPr>
              <w:t>Uporabna površina (m2)</w:t>
            </w:r>
          </w:p>
        </w:tc>
        <w:tc>
          <w:tcPr>
            <w:tcW w:w="1000" w:type="dxa"/>
            <w:noWrap/>
            <w:vAlign w:val="center"/>
            <w:hideMark/>
          </w:tcPr>
          <w:p w14:paraId="21530DD7" w14:textId="78D321B6"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48</w:t>
            </w:r>
          </w:p>
        </w:tc>
        <w:tc>
          <w:tcPr>
            <w:tcW w:w="1000" w:type="dxa"/>
            <w:noWrap/>
            <w:vAlign w:val="center"/>
            <w:hideMark/>
          </w:tcPr>
          <w:p w14:paraId="0A46AD80" w14:textId="4E579D16"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52</w:t>
            </w:r>
          </w:p>
        </w:tc>
        <w:tc>
          <w:tcPr>
            <w:tcW w:w="1000" w:type="dxa"/>
            <w:noWrap/>
            <w:vAlign w:val="center"/>
            <w:hideMark/>
          </w:tcPr>
          <w:p w14:paraId="547ACA69" w14:textId="2A890F90"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49</w:t>
            </w:r>
          </w:p>
        </w:tc>
        <w:tc>
          <w:tcPr>
            <w:tcW w:w="1000" w:type="dxa"/>
            <w:noWrap/>
            <w:vAlign w:val="center"/>
            <w:hideMark/>
          </w:tcPr>
          <w:p w14:paraId="05B3FFDB" w14:textId="545A033C"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55</w:t>
            </w:r>
          </w:p>
        </w:tc>
        <w:tc>
          <w:tcPr>
            <w:tcW w:w="1000" w:type="dxa"/>
            <w:noWrap/>
            <w:vAlign w:val="center"/>
            <w:hideMark/>
          </w:tcPr>
          <w:p w14:paraId="656B22A3" w14:textId="1CC4CAAC"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53</w:t>
            </w:r>
          </w:p>
        </w:tc>
        <w:tc>
          <w:tcPr>
            <w:tcW w:w="1000" w:type="dxa"/>
            <w:noWrap/>
            <w:vAlign w:val="center"/>
            <w:hideMark/>
          </w:tcPr>
          <w:p w14:paraId="5A1CBC40" w14:textId="46A8FCCD" w:rsidR="00551249" w:rsidRPr="00A00670" w:rsidRDefault="00551249" w:rsidP="00551249">
            <w:pPr>
              <w:jc w:val="right"/>
              <w:rPr>
                <w:rFonts w:ascii="Calibri" w:eastAsia="Times New Roman" w:hAnsi="Calibri" w:cs="Calibri"/>
                <w:color w:val="000000"/>
                <w:lang w:eastAsia="sl-SI"/>
              </w:rPr>
            </w:pPr>
            <w:r w:rsidRPr="00A00670">
              <w:rPr>
                <w:rFonts w:ascii="Calibri" w:hAnsi="Calibri" w:cs="Calibri"/>
                <w:color w:val="000000"/>
              </w:rPr>
              <w:t>56</w:t>
            </w:r>
          </w:p>
        </w:tc>
      </w:tr>
    </w:tbl>
    <w:p w14:paraId="68E2ECF3" w14:textId="77777777" w:rsidR="0041311C" w:rsidRPr="00A00670" w:rsidRDefault="0041311C" w:rsidP="0041311C">
      <w:pPr>
        <w:pStyle w:val="janopombe"/>
        <w:ind w:left="284" w:hanging="284"/>
        <w:jc w:val="both"/>
        <w:rPr>
          <w:sz w:val="20"/>
          <w:szCs w:val="20"/>
        </w:rPr>
      </w:pPr>
      <w:r w:rsidRPr="00A00670">
        <w:rPr>
          <w:sz w:val="20"/>
          <w:szCs w:val="20"/>
        </w:rPr>
        <w:t>Opomba:</w:t>
      </w:r>
    </w:p>
    <w:p w14:paraId="64A9086E" w14:textId="33FD3C6F" w:rsidR="0041311C" w:rsidRPr="00A00670" w:rsidRDefault="0041311C" w:rsidP="0041311C">
      <w:pPr>
        <w:pStyle w:val="janopombe"/>
        <w:numPr>
          <w:ilvl w:val="0"/>
          <w:numId w:val="1"/>
        </w:numPr>
        <w:jc w:val="both"/>
        <w:rPr>
          <w:sz w:val="20"/>
          <w:szCs w:val="20"/>
        </w:rPr>
      </w:pPr>
      <w:r w:rsidRPr="00A00670">
        <w:rPr>
          <w:sz w:val="20"/>
          <w:szCs w:val="20"/>
        </w:rPr>
        <w:t>Okolica Ljubljane vključuje tudi naselja Domžale, Kamnik, Mengeš, Trzin, Lavrica, Škofljica, Grosuplje, Vrhnika in Medvode,</w:t>
      </w:r>
    </w:p>
    <w:p w14:paraId="150445C5" w14:textId="2FD666CD" w:rsidR="0041311C" w:rsidRPr="00A00670" w:rsidRDefault="0041311C" w:rsidP="0041311C">
      <w:pPr>
        <w:pStyle w:val="janopombe"/>
        <w:numPr>
          <w:ilvl w:val="0"/>
          <w:numId w:val="1"/>
        </w:numPr>
        <w:jc w:val="both"/>
        <w:rPr>
          <w:sz w:val="20"/>
          <w:szCs w:val="20"/>
        </w:rPr>
      </w:pPr>
      <w:r w:rsidRPr="00A00670">
        <w:rPr>
          <w:sz w:val="20"/>
          <w:szCs w:val="20"/>
        </w:rPr>
        <w:t>Obala brez Kopra vključuje tudi naselja Piran, Portorož in Ankaran.</w:t>
      </w:r>
    </w:p>
    <w:p w14:paraId="06807D2E" w14:textId="29B7664E" w:rsidR="00F918C5" w:rsidRPr="00A00670" w:rsidRDefault="00F918C5" w:rsidP="00A234D5">
      <w:pPr>
        <w:jc w:val="both"/>
      </w:pPr>
    </w:p>
    <w:p w14:paraId="7BDC8AFC" w14:textId="3F4E0494" w:rsidR="00AA1A17" w:rsidRPr="00A00670" w:rsidRDefault="00AE23E7" w:rsidP="00A234D5">
      <w:pPr>
        <w:jc w:val="both"/>
      </w:pPr>
      <w:r w:rsidRPr="00A00670">
        <w:lastRenderedPageBreak/>
        <w:t>Statistično so c</w:t>
      </w:r>
      <w:r w:rsidR="008D3367" w:rsidRPr="00A00670">
        <w:t>ene stanovanj lani zrasle na vseh obravnavanih območjih</w:t>
      </w:r>
      <w:r w:rsidRPr="00A00670">
        <w:t>, z izjemo Kopra</w:t>
      </w:r>
      <w:r w:rsidR="008D3367" w:rsidRPr="00A00670">
        <w:t xml:space="preserve">. </w:t>
      </w:r>
    </w:p>
    <w:p w14:paraId="2F12856C" w14:textId="0082406B" w:rsidR="00AE23E7" w:rsidRPr="00A00670" w:rsidRDefault="00AE23E7" w:rsidP="00A234D5">
      <w:pPr>
        <w:jc w:val="both"/>
      </w:pPr>
      <w:r w:rsidRPr="00A00670">
        <w:t>V Ljubljani</w:t>
      </w:r>
      <w:r w:rsidR="00D82B03" w:rsidRPr="00A00670">
        <w:t>, kjer so stanovanja daleč najdražja,</w:t>
      </w:r>
      <w:r w:rsidRPr="00A00670">
        <w:t xml:space="preserve"> je povprečna cena rabljenega stanovanja prvič presegla 2.900 €/m</w:t>
      </w:r>
      <w:r w:rsidRPr="00A00670">
        <w:rPr>
          <w:vertAlign w:val="superscript"/>
        </w:rPr>
        <w:t>2</w:t>
      </w:r>
      <w:r w:rsidR="00634E31" w:rsidRPr="00A00670">
        <w:t xml:space="preserve"> in se začela približevati meji 3.000 €/m</w:t>
      </w:r>
      <w:r w:rsidR="00634E31" w:rsidRPr="00A00670">
        <w:rPr>
          <w:vertAlign w:val="superscript"/>
        </w:rPr>
        <w:t>2</w:t>
      </w:r>
      <w:r w:rsidR="00634E31" w:rsidRPr="00A00670">
        <w:t xml:space="preserve">. </w:t>
      </w:r>
      <w:r w:rsidR="0041311C" w:rsidRPr="00A00670">
        <w:t>P</w:t>
      </w:r>
      <w:r w:rsidRPr="00A00670">
        <w:t>o</w:t>
      </w:r>
      <w:r w:rsidR="0041311C" w:rsidRPr="00A00670">
        <w:t xml:space="preserve"> </w:t>
      </w:r>
      <w:r w:rsidRPr="00A00670">
        <w:t>s</w:t>
      </w:r>
      <w:r w:rsidR="0041311C" w:rsidRPr="00A00670">
        <w:t>kok</w:t>
      </w:r>
      <w:r w:rsidRPr="00A00670">
        <w:t xml:space="preserve">oviti rasti cen </w:t>
      </w:r>
      <w:r w:rsidR="0041311C" w:rsidRPr="00A00670">
        <w:t xml:space="preserve">stanovanj </w:t>
      </w:r>
      <w:r w:rsidRPr="00A00670">
        <w:t>v letih 20</w:t>
      </w:r>
      <w:r w:rsidR="0041311C" w:rsidRPr="00A00670">
        <w:t>1</w:t>
      </w:r>
      <w:r w:rsidRPr="00A00670">
        <w:t>7 in 2018 ter stagnaciji v letu 2019</w:t>
      </w:r>
      <w:r w:rsidR="0041311C" w:rsidRPr="00A00670">
        <w:t xml:space="preserve"> se je v primerjavi z letom 2019 zvišala </w:t>
      </w:r>
      <w:r w:rsidR="00551249" w:rsidRPr="00A00670">
        <w:t>še za slabih 6</w:t>
      </w:r>
      <w:r w:rsidR="0041311C" w:rsidRPr="00A00670">
        <w:t xml:space="preserve"> odstotkov.</w:t>
      </w:r>
      <w:r w:rsidR="00393DDC" w:rsidRPr="00A00670">
        <w:t xml:space="preserve"> </w:t>
      </w:r>
    </w:p>
    <w:p w14:paraId="3B4FE4CA" w14:textId="7321851F" w:rsidR="0041311C" w:rsidRPr="00A00670" w:rsidRDefault="0041311C" w:rsidP="00A234D5">
      <w:pPr>
        <w:jc w:val="both"/>
      </w:pPr>
      <w:r w:rsidRPr="00A00670">
        <w:t xml:space="preserve">V okolici Ljubljane se je </w:t>
      </w:r>
      <w:r w:rsidR="00634E31" w:rsidRPr="00A00670">
        <w:t>povprečna cena rabljenega stanovanja</w:t>
      </w:r>
      <w:r w:rsidR="00D82B03" w:rsidRPr="00A00670">
        <w:t xml:space="preserve"> (2.300 €/m</w:t>
      </w:r>
      <w:r w:rsidR="00D82B03" w:rsidRPr="00A00670">
        <w:rPr>
          <w:vertAlign w:val="superscript"/>
        </w:rPr>
        <w:t>2</w:t>
      </w:r>
      <w:r w:rsidR="00D82B03" w:rsidRPr="00A00670">
        <w:t>),</w:t>
      </w:r>
      <w:r w:rsidR="00634E31" w:rsidRPr="00A00670">
        <w:t xml:space="preserve"> po skoraj 10-odstotnem povišanju leta 2019</w:t>
      </w:r>
      <w:r w:rsidR="00D82B03" w:rsidRPr="00A00670">
        <w:t>,</w:t>
      </w:r>
      <w:r w:rsidR="00634E31" w:rsidRPr="00A00670">
        <w:t xml:space="preserve"> lani zvišala za okoli 3 odstotke. Stanovanja na območju Okolice Ljubljane so bila </w:t>
      </w:r>
      <w:r w:rsidR="00FF3912" w:rsidRPr="00A00670">
        <w:t xml:space="preserve">v povprečju </w:t>
      </w:r>
      <w:r w:rsidR="00634E31" w:rsidRPr="00A00670">
        <w:t xml:space="preserve">za dobro petino </w:t>
      </w:r>
      <w:r w:rsidR="000E398D" w:rsidRPr="00A00670">
        <w:t>cenejša</w:t>
      </w:r>
      <w:r w:rsidR="00634E31" w:rsidRPr="00A00670">
        <w:t xml:space="preserve"> kot v Ljubljani.</w:t>
      </w:r>
    </w:p>
    <w:p w14:paraId="5F446F41" w14:textId="14968E4A" w:rsidR="00634E31" w:rsidRPr="00A00670" w:rsidRDefault="00D82B03" w:rsidP="00A234D5">
      <w:pPr>
        <w:jc w:val="both"/>
      </w:pPr>
      <w:r w:rsidRPr="00A00670">
        <w:t xml:space="preserve">V Kranju, </w:t>
      </w:r>
      <w:r w:rsidR="00FF3912" w:rsidRPr="00A00670">
        <w:t xml:space="preserve">ki je za Celjem drugo </w:t>
      </w:r>
      <w:r w:rsidRPr="00A00670">
        <w:t>med obravnavanimi območji</w:t>
      </w:r>
      <w:r w:rsidR="00FF3912" w:rsidRPr="00A00670">
        <w:t>, kjer so</w:t>
      </w:r>
      <w:r w:rsidRPr="00A00670">
        <w:t xml:space="preserve"> cene stanovanj leta 2019 zrasle naj</w:t>
      </w:r>
      <w:r w:rsidR="00830CC1" w:rsidRPr="00A00670">
        <w:t>več</w:t>
      </w:r>
      <w:r w:rsidRPr="00A00670">
        <w:t xml:space="preserve">, se je povprečna cena rabljenega stanovanja leta 2020 </w:t>
      </w:r>
      <w:r w:rsidR="00FF3912" w:rsidRPr="00A00670">
        <w:t>(2.18</w:t>
      </w:r>
      <w:r w:rsidR="004C09FC" w:rsidRPr="00A00670">
        <w:t>0 €/m</w:t>
      </w:r>
      <w:r w:rsidR="004C09FC" w:rsidRPr="00A00670">
        <w:rPr>
          <w:vertAlign w:val="superscript"/>
        </w:rPr>
        <w:t>2</w:t>
      </w:r>
      <w:r w:rsidR="004C09FC" w:rsidRPr="00A00670">
        <w:t xml:space="preserve">) </w:t>
      </w:r>
      <w:r w:rsidRPr="00A00670">
        <w:t xml:space="preserve">v primerjavi z letom prej zvišala </w:t>
      </w:r>
      <w:r w:rsidR="00D32DF7" w:rsidRPr="00A00670">
        <w:t xml:space="preserve">še </w:t>
      </w:r>
      <w:r w:rsidRPr="00A00670">
        <w:t xml:space="preserve">za </w:t>
      </w:r>
      <w:r w:rsidR="00FF3912" w:rsidRPr="00A00670">
        <w:t>7 odstotkov. Stanovanja</w:t>
      </w:r>
      <w:r w:rsidR="004C09FC" w:rsidRPr="00A00670">
        <w:t xml:space="preserve"> </w:t>
      </w:r>
      <w:r w:rsidRPr="00A00670">
        <w:t>so bila v povprečju za dobro četrtino cenejša kot v Ljubljani.</w:t>
      </w:r>
    </w:p>
    <w:p w14:paraId="29141EB0" w14:textId="043E1B6E" w:rsidR="00E354CF" w:rsidRPr="00A00670" w:rsidRDefault="004C09FC" w:rsidP="00A234D5">
      <w:pPr>
        <w:jc w:val="both"/>
      </w:pPr>
      <w:r w:rsidRPr="00A00670">
        <w:t xml:space="preserve">V Mariboru in Celju so cene stanovanj </w:t>
      </w:r>
      <w:r w:rsidR="00830CC1" w:rsidRPr="00A00670">
        <w:t>praktično enake</w:t>
      </w:r>
      <w:r w:rsidRPr="00A00670">
        <w:t xml:space="preserve">. Lani </w:t>
      </w:r>
      <w:r w:rsidR="009E1780" w:rsidRPr="00A00670">
        <w:t xml:space="preserve">je povprečna cena rabljenega stanovanj v obeh mestih </w:t>
      </w:r>
      <w:r w:rsidR="00FF3912" w:rsidRPr="00A00670">
        <w:t>presegla 1.400 €/m</w:t>
      </w:r>
      <w:r w:rsidR="00FF3912" w:rsidRPr="00A00670">
        <w:rPr>
          <w:vertAlign w:val="superscript"/>
        </w:rPr>
        <w:t xml:space="preserve">2 </w:t>
      </w:r>
      <w:r w:rsidR="00FF3912" w:rsidRPr="00A00670">
        <w:t>in dosegla rekordno vrednost</w:t>
      </w:r>
      <w:r w:rsidRPr="00A00670">
        <w:t xml:space="preserve">. V Celju se je leta 2020 v primerjavi z letom 2019 </w:t>
      </w:r>
      <w:r w:rsidR="009E1780" w:rsidRPr="00A00670">
        <w:t xml:space="preserve">zvišala za 8 odstotkov, </w:t>
      </w:r>
      <w:r w:rsidR="00FF3912" w:rsidRPr="00A00670">
        <w:t>v</w:t>
      </w:r>
      <w:r w:rsidR="009E1780" w:rsidRPr="00A00670">
        <w:t xml:space="preserve"> Mariboru </w:t>
      </w:r>
      <w:r w:rsidR="00FF3912" w:rsidRPr="00A00670">
        <w:t>pa z</w:t>
      </w:r>
      <w:r w:rsidR="009E1780" w:rsidRPr="00A00670">
        <w:t xml:space="preserve">a </w:t>
      </w:r>
      <w:r w:rsidR="00FF3912" w:rsidRPr="00A00670">
        <w:t>6</w:t>
      </w:r>
      <w:r w:rsidR="009E1780" w:rsidRPr="00A00670">
        <w:t xml:space="preserve"> odstotkov. Cene stanovanj v Mariboru in Celju so bile v povprečju za več kot polovico nižje kot v Ljubljani.</w:t>
      </w:r>
    </w:p>
    <w:p w14:paraId="05A717B2" w14:textId="41F8732B" w:rsidR="009D37FE" w:rsidRPr="00A00670" w:rsidRDefault="004E6C73" w:rsidP="00A234D5">
      <w:pPr>
        <w:jc w:val="both"/>
      </w:pPr>
      <w:r w:rsidRPr="00A00670">
        <w:t>V Kopru se je povprečna cena rabljenega stanovanja v primerjavi z letom 2019 statistično znižala za 2 odstotka, na območju Obale brez Kopra pa se j</w:t>
      </w:r>
      <w:r w:rsidR="00393DDC" w:rsidRPr="00A00670">
        <w:t>e zvišala za slabih 7 odstotkov in še naprej, za razliko od ostalih obravnavanih območij,  kaže razmeroma močan</w:t>
      </w:r>
      <w:r w:rsidRPr="00A00670">
        <w:t xml:space="preserve"> </w:t>
      </w:r>
      <w:r w:rsidR="00393DDC" w:rsidRPr="00A00670">
        <w:t xml:space="preserve">tren rasti. </w:t>
      </w:r>
      <w:r w:rsidR="009D37FE" w:rsidRPr="00A00670">
        <w:t>Cene stanovanj so bile lani v Kopru v povprečju za okoli petino nižje kot v Ljubljani, na območju Obale brez Kopra pa za nekaj manj kot 10 odstotkov</w:t>
      </w:r>
      <w:r w:rsidR="00393DDC" w:rsidRPr="00A00670">
        <w:t>, vendar se v zadnjem času hitro približujejo ljubljanskim.</w:t>
      </w:r>
    </w:p>
    <w:p w14:paraId="73670605" w14:textId="77777777" w:rsidR="00704478" w:rsidRPr="00A00670" w:rsidRDefault="00704478" w:rsidP="00A234D5">
      <w:pPr>
        <w:jc w:val="both"/>
      </w:pPr>
    </w:p>
    <w:p w14:paraId="1551D013" w14:textId="74C45B02" w:rsidR="00C712E6" w:rsidRPr="00A00670" w:rsidRDefault="00C712E6" w:rsidP="00A234D5">
      <w:pPr>
        <w:pStyle w:val="NAPISp"/>
        <w:jc w:val="both"/>
      </w:pPr>
      <w:r w:rsidRPr="00A00670">
        <w:t xml:space="preserve">Slika </w:t>
      </w:r>
      <w:fldSimple w:instr=" SEQ Slika \* ARABIC ">
        <w:r w:rsidR="00DC0028" w:rsidRPr="00A00670">
          <w:rPr>
            <w:noProof/>
          </w:rPr>
          <w:t>7</w:t>
        </w:r>
      </w:fldSimple>
      <w:r w:rsidRPr="00A00670">
        <w:t>: Povprečne cene rabljenih stanovanj, izbrana analitična območja, letno od 2015 do 2020</w:t>
      </w:r>
    </w:p>
    <w:p w14:paraId="366F9F28" w14:textId="02F658D8" w:rsidR="00465D98" w:rsidRPr="00A00670" w:rsidRDefault="00465D98" w:rsidP="00465D98">
      <w:r w:rsidRPr="00A00670">
        <w:rPr>
          <w:noProof/>
          <w:lang w:eastAsia="sl-SI"/>
        </w:rPr>
        <w:drawing>
          <wp:inline distT="0" distB="0" distL="0" distR="0" wp14:anchorId="3FBAFEA1" wp14:editId="0A155B69">
            <wp:extent cx="5811432" cy="2692400"/>
            <wp:effectExtent l="0" t="0" r="0" b="0"/>
            <wp:docPr id="24" name="Slika 24" descr="Grafični prikaz gibanja cen stanovanj po izbranih analitičnih območjih, od leta 2015 do 2020, na osnovi podatkov iz preglednic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descr="Grafični prikaz gibanja cen stanovanj po izbranih analitičnih območjih, od leta 2015 do 2020, na osnovi podatkov iz preglednic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29950" cy="2700979"/>
                    </a:xfrm>
                    <a:prstGeom prst="rect">
                      <a:avLst/>
                    </a:prstGeom>
                  </pic:spPr>
                </pic:pic>
              </a:graphicData>
            </a:graphic>
          </wp:inline>
        </w:drawing>
      </w:r>
    </w:p>
    <w:p w14:paraId="24773B48" w14:textId="77777777" w:rsidR="0053472E" w:rsidRPr="00A00670" w:rsidRDefault="0053472E">
      <w:pPr>
        <w:rPr>
          <w:rFonts w:asciiTheme="majorHAnsi" w:eastAsiaTheme="majorEastAsia" w:hAnsiTheme="majorHAnsi" w:cstheme="majorBidi"/>
          <w:b/>
          <w:sz w:val="32"/>
          <w:szCs w:val="32"/>
        </w:rPr>
      </w:pPr>
      <w:r w:rsidRPr="00A00670">
        <w:br w:type="page"/>
      </w:r>
    </w:p>
    <w:p w14:paraId="5A7E3916" w14:textId="66C1661C" w:rsidR="003D5DD1" w:rsidRPr="00A00670" w:rsidRDefault="003D5DD1" w:rsidP="00A234D5">
      <w:pPr>
        <w:pStyle w:val="Naslov1p"/>
        <w:jc w:val="both"/>
      </w:pPr>
      <w:r w:rsidRPr="00A00670">
        <w:lastRenderedPageBreak/>
        <w:t>SKLEPNI KOMENTAR</w:t>
      </w:r>
    </w:p>
    <w:p w14:paraId="3760D8E2" w14:textId="6E598867" w:rsidR="003D5DD1" w:rsidRPr="00A00670" w:rsidRDefault="003D5DD1" w:rsidP="00A234D5">
      <w:pPr>
        <w:jc w:val="both"/>
      </w:pPr>
    </w:p>
    <w:p w14:paraId="24CFA03B" w14:textId="41DE2F70" w:rsidR="000D23B5" w:rsidRPr="00A00670" w:rsidRDefault="00D27D78" w:rsidP="00D27D78">
      <w:pPr>
        <w:jc w:val="both"/>
      </w:pPr>
      <w:r w:rsidRPr="00A00670">
        <w:t xml:space="preserve">Lanskoletna marčevska zaustavitev javnega življenja zaradi epidemije Covid-19 je močno vplivala tudi na dejavnost nepremičninskega trga. Trgovanje z nepremičninami se je </w:t>
      </w:r>
      <w:r w:rsidR="00F76174" w:rsidRPr="00A00670">
        <w:t xml:space="preserve">občutno zmanjšalo, saj so se </w:t>
      </w:r>
      <w:r w:rsidR="009263E5" w:rsidRPr="00A00670">
        <w:t>praktično</w:t>
      </w:r>
      <w:r w:rsidR="00F76174" w:rsidRPr="00A00670">
        <w:t xml:space="preserve"> </w:t>
      </w:r>
      <w:r w:rsidR="009263E5" w:rsidRPr="00A00670">
        <w:t>realizirale</w:t>
      </w:r>
      <w:r w:rsidR="00F76174" w:rsidRPr="00A00670">
        <w:t xml:space="preserve"> le prodaje, ki so bile dogovorjene že pred epidemijo. </w:t>
      </w:r>
      <w:r w:rsidRPr="00A00670">
        <w:t xml:space="preserve">Padec števila </w:t>
      </w:r>
      <w:r w:rsidR="00CA5464" w:rsidRPr="00A00670">
        <w:t xml:space="preserve">realiziranih </w:t>
      </w:r>
      <w:r w:rsidRPr="00A00670">
        <w:t>transakcij z nepremič</w:t>
      </w:r>
      <w:r w:rsidR="00010DC9" w:rsidRPr="00A00670">
        <w:t xml:space="preserve">ninami je bil primerljiv s </w:t>
      </w:r>
      <w:r w:rsidR="00F76174" w:rsidRPr="00A00670">
        <w:t>tist</w:t>
      </w:r>
      <w:r w:rsidR="00010DC9" w:rsidRPr="00A00670">
        <w:t>im</w:t>
      </w:r>
      <w:r w:rsidR="00F76174" w:rsidRPr="00A00670">
        <w:t xml:space="preserve"> na začetku krize nepremičninskega trga leta 2008.</w:t>
      </w:r>
      <w:r w:rsidRPr="00A00670">
        <w:t xml:space="preserve"> </w:t>
      </w:r>
    </w:p>
    <w:p w14:paraId="1B751A3A" w14:textId="1850E1F0" w:rsidR="005447C0" w:rsidRPr="00A00670" w:rsidRDefault="009263E5" w:rsidP="005447C0">
      <w:pPr>
        <w:jc w:val="both"/>
      </w:pPr>
      <w:r w:rsidRPr="00A00670">
        <w:t>Takoj</w:t>
      </w:r>
      <w:r w:rsidR="008659A9" w:rsidRPr="00A00670">
        <w:t xml:space="preserve"> maja,</w:t>
      </w:r>
      <w:r w:rsidRPr="00A00670">
        <w:t xml:space="preserve"> </w:t>
      </w:r>
      <w:r w:rsidR="00D45FBA" w:rsidRPr="00A00670">
        <w:t xml:space="preserve">ko so ukrepi za zajezitev epidemije prenehali veljati, se je </w:t>
      </w:r>
      <w:r w:rsidR="00CA5464" w:rsidRPr="00A00670">
        <w:t xml:space="preserve">začel </w:t>
      </w:r>
      <w:r w:rsidR="00D45FBA" w:rsidRPr="00A00670">
        <w:t xml:space="preserve">promet z nepremičninami hitro </w:t>
      </w:r>
      <w:r w:rsidR="00625809" w:rsidRPr="00A00670">
        <w:t xml:space="preserve">spet </w:t>
      </w:r>
      <w:r w:rsidR="00D45FBA" w:rsidRPr="00A00670">
        <w:t xml:space="preserve">povečevati. </w:t>
      </w:r>
      <w:r w:rsidR="000D23B5" w:rsidRPr="00A00670">
        <w:t xml:space="preserve">Povpraševanje po stanovanjskih nepremičninah, ki predstavljajo odločilni segment nepremičninskega trga, se </w:t>
      </w:r>
      <w:r w:rsidR="0059476B" w:rsidRPr="00A00670">
        <w:t xml:space="preserve">namreč </w:t>
      </w:r>
      <w:r w:rsidR="000D23B5" w:rsidRPr="00A00670">
        <w:t>zaradi epidemije ni zmanjšalo in</w:t>
      </w:r>
      <w:r w:rsidR="0059476B" w:rsidRPr="00A00670">
        <w:t xml:space="preserve"> </w:t>
      </w:r>
      <w:r w:rsidR="000D23B5" w:rsidRPr="00A00670">
        <w:t>predvsem kupci in prodajalci stanovanjskih hiš in zemljišč za njihovo gradnjo so poizkušali nadoknaditi izpad kupoprodaj v preteklih dveh mesecih. Na ta račun je bil</w:t>
      </w:r>
      <w:r w:rsidR="00FD4E6B" w:rsidRPr="00A00670">
        <w:t>o</w:t>
      </w:r>
      <w:r w:rsidR="000D23B5" w:rsidRPr="00A00670">
        <w:t xml:space="preserve"> </w:t>
      </w:r>
      <w:r w:rsidR="00FD4E6B" w:rsidRPr="00A00670">
        <w:t>število transakcij z nepremičninami med prvim in drugim valom epidemije večje kot pred epidemijo in večje kot v enakem obdobju leta 2019.</w:t>
      </w:r>
      <w:r w:rsidR="0019232A" w:rsidRPr="00A00670">
        <w:t xml:space="preserve"> </w:t>
      </w:r>
    </w:p>
    <w:p w14:paraId="03B50859" w14:textId="7161B513" w:rsidR="005447C0" w:rsidRPr="00A00670" w:rsidRDefault="0019232A" w:rsidP="00D27D78">
      <w:pPr>
        <w:jc w:val="both"/>
      </w:pPr>
      <w:r w:rsidRPr="00A00670">
        <w:t>Oktobrska razglasitev drugega vala epidemije</w:t>
      </w:r>
      <w:r w:rsidR="00C06139" w:rsidRPr="00A00670">
        <w:t xml:space="preserve"> </w:t>
      </w:r>
      <w:r w:rsidRPr="00A00670">
        <w:t xml:space="preserve">ni prinesla </w:t>
      </w:r>
      <w:r w:rsidR="00C06139" w:rsidRPr="00A00670">
        <w:t>tak</w:t>
      </w:r>
      <w:r w:rsidR="00636F36" w:rsidRPr="00A00670">
        <w:t xml:space="preserve">o striktnega </w:t>
      </w:r>
      <w:r w:rsidRPr="00A00670">
        <w:t>zaprtja javnega življenja</w:t>
      </w:r>
      <w:r w:rsidR="00C06139" w:rsidRPr="00A00670">
        <w:t xml:space="preserve"> kot v prvem valu, je pa </w:t>
      </w:r>
      <w:r w:rsidR="00636F36" w:rsidRPr="00A00670">
        <w:t xml:space="preserve">bilo </w:t>
      </w:r>
      <w:r w:rsidR="00C06139" w:rsidRPr="00A00670">
        <w:t>ponovno prepoved</w:t>
      </w:r>
      <w:r w:rsidR="00636F36" w:rsidRPr="00A00670">
        <w:t>ano izvajanje</w:t>
      </w:r>
      <w:r w:rsidR="00C06139" w:rsidRPr="00A00670">
        <w:t xml:space="preserve"> terenskih ogledov nepremičnin, </w:t>
      </w:r>
      <w:r w:rsidR="00636F36" w:rsidRPr="00A00670">
        <w:t xml:space="preserve">kar </w:t>
      </w:r>
      <w:r w:rsidR="00C06139" w:rsidRPr="00A00670">
        <w:t xml:space="preserve">je </w:t>
      </w:r>
      <w:r w:rsidR="00636F36" w:rsidRPr="00A00670">
        <w:t xml:space="preserve">nato </w:t>
      </w:r>
      <w:r w:rsidR="00C06139" w:rsidRPr="00A00670">
        <w:t>trajal</w:t>
      </w:r>
      <w:r w:rsidR="00636F36" w:rsidRPr="00A00670">
        <w:t>o</w:t>
      </w:r>
      <w:r w:rsidR="00C06139" w:rsidRPr="00A00670">
        <w:t xml:space="preserve"> kar štiri mesece. To je seveda </w:t>
      </w:r>
      <w:r w:rsidR="00A6483A" w:rsidRPr="00A00670">
        <w:t>ponovno</w:t>
      </w:r>
      <w:r w:rsidR="00636F36" w:rsidRPr="00A00670">
        <w:t xml:space="preserve"> </w:t>
      </w:r>
      <w:r w:rsidR="00C06139" w:rsidRPr="00A00670">
        <w:t xml:space="preserve">negativno vplivalo na </w:t>
      </w:r>
      <w:r w:rsidR="00636F36" w:rsidRPr="00A00670">
        <w:t>dejavnost nepremičninskega trga, a je bil n</w:t>
      </w:r>
      <w:r w:rsidR="00C06139" w:rsidRPr="00A00670">
        <w:t xml:space="preserve">a splošno padec števila transakcij počasnejši in </w:t>
      </w:r>
      <w:r w:rsidR="0059476B" w:rsidRPr="00A00670">
        <w:t xml:space="preserve">vsaj do konca leta </w:t>
      </w:r>
      <w:r w:rsidR="00C06139" w:rsidRPr="00A00670">
        <w:t>precej manjši kot v prvem valu epidemije.</w:t>
      </w:r>
    </w:p>
    <w:p w14:paraId="47449EF9" w14:textId="19E957B4" w:rsidR="00820BFE" w:rsidRPr="00A00670" w:rsidRDefault="008659A9" w:rsidP="00F379AC">
      <w:pPr>
        <w:jc w:val="both"/>
      </w:pPr>
      <w:r w:rsidRPr="00A00670">
        <w:t>Cene stanovanjskih nepremičnin in zemljišč za njihovo gradnjo so lani kljub epidemiji še nekoliko zrasle</w:t>
      </w:r>
      <w:r w:rsidR="00F379AC" w:rsidRPr="00A00670">
        <w:t>. L</w:t>
      </w:r>
      <w:r w:rsidR="00DE1577" w:rsidRPr="00A00670">
        <w:t xml:space="preserve">ahko rečemo, da epidemija sama po sebi ni imela </w:t>
      </w:r>
      <w:r w:rsidR="00A6483A" w:rsidRPr="00A00670">
        <w:t xml:space="preserve">večjega </w:t>
      </w:r>
      <w:r w:rsidR="00DE1577" w:rsidRPr="00A00670">
        <w:t xml:space="preserve">vpliva na </w:t>
      </w:r>
      <w:r w:rsidR="00F379AC" w:rsidRPr="00A00670">
        <w:t xml:space="preserve">cene nepremičnin oziroma na </w:t>
      </w:r>
      <w:r w:rsidR="00DE1577" w:rsidRPr="00A00670">
        <w:t>ponudbo in povpraševanje</w:t>
      </w:r>
      <w:r w:rsidR="00F379AC" w:rsidRPr="00A00670">
        <w:t xml:space="preserve"> po njih. Zavedati pa se je treba, da </w:t>
      </w:r>
      <w:r w:rsidR="00556A4E" w:rsidRPr="00A00670">
        <w:t xml:space="preserve">epidemije </w:t>
      </w:r>
      <w:r w:rsidR="00F379AC" w:rsidRPr="00A00670">
        <w:t xml:space="preserve">še ni konec in da se </w:t>
      </w:r>
      <w:r w:rsidR="00636F36" w:rsidRPr="00A00670">
        <w:t xml:space="preserve">vse </w:t>
      </w:r>
      <w:r w:rsidR="00F379AC" w:rsidRPr="00A00670">
        <w:t>njene gospodarske in socialne posledice še niso pokazale. Kdaj se bodo in koliko bo</w:t>
      </w:r>
      <w:r w:rsidR="00636F36" w:rsidRPr="00A00670">
        <w:t xml:space="preserve"> to </w:t>
      </w:r>
      <w:r w:rsidR="00F379AC" w:rsidRPr="00A00670">
        <w:t>vplival</w:t>
      </w:r>
      <w:r w:rsidR="00636F36" w:rsidRPr="00A00670">
        <w:t>o</w:t>
      </w:r>
      <w:r w:rsidR="00F379AC" w:rsidRPr="00A00670">
        <w:t xml:space="preserve"> na nepremičninski trg v bodoče bo odvisno od nadaljnjega razvoja in trajanja epidemije ter uspešnosti državnih ukrepov za blaženje </w:t>
      </w:r>
      <w:r w:rsidR="00556A4E" w:rsidRPr="00A00670">
        <w:t xml:space="preserve">njenih </w:t>
      </w:r>
      <w:r w:rsidR="00F379AC" w:rsidRPr="00A00670">
        <w:t>posledic</w:t>
      </w:r>
      <w:r w:rsidR="00556A4E" w:rsidRPr="00A00670">
        <w:t>.</w:t>
      </w:r>
      <w:r w:rsidR="00B50C6D" w:rsidRPr="00A00670">
        <w:t xml:space="preserve"> </w:t>
      </w:r>
    </w:p>
    <w:p w14:paraId="631DA1B0" w14:textId="1F160BC1" w:rsidR="00462F35" w:rsidRPr="00A00670" w:rsidRDefault="002C5051" w:rsidP="00F379AC">
      <w:pPr>
        <w:jc w:val="both"/>
      </w:pPr>
      <w:r w:rsidRPr="00A00670">
        <w:t>V kratkem o</w:t>
      </w:r>
      <w:r w:rsidR="00625809" w:rsidRPr="00A00670">
        <w:t xml:space="preserve">brata cen stanovanjskih nepremičnin in zemljišč za njihovo gradnjo v </w:t>
      </w:r>
      <w:r w:rsidRPr="00A00670">
        <w:t xml:space="preserve">Sloveniji </w:t>
      </w:r>
      <w:r w:rsidR="00A6483A" w:rsidRPr="00A00670">
        <w:t xml:space="preserve">sicer </w:t>
      </w:r>
      <w:r w:rsidR="0077476B" w:rsidRPr="00A00670">
        <w:t>n</w:t>
      </w:r>
      <w:r w:rsidRPr="00A00670">
        <w:t>i pričakovati.</w:t>
      </w:r>
      <w:r w:rsidR="0077476B" w:rsidRPr="00A00670">
        <w:t xml:space="preserve"> Povpraševanje </w:t>
      </w:r>
      <w:r w:rsidR="00556A4E" w:rsidRPr="00A00670">
        <w:t>v največjih mestih</w:t>
      </w:r>
      <w:r w:rsidR="00636F36" w:rsidRPr="00A00670">
        <w:t>, predvsem pa v Ljubljani,</w:t>
      </w:r>
      <w:r w:rsidR="00556A4E" w:rsidRPr="00A00670">
        <w:t xml:space="preserve"> </w:t>
      </w:r>
      <w:r w:rsidR="0077476B" w:rsidRPr="00A00670">
        <w:t xml:space="preserve">je zaradi pomanjkanja novih stanovanj namreč </w:t>
      </w:r>
      <w:r w:rsidR="00DF2D01" w:rsidRPr="00A00670">
        <w:t>še vedno večje od</w:t>
      </w:r>
      <w:r w:rsidR="00556A4E" w:rsidRPr="00A00670">
        <w:t xml:space="preserve"> ponudb</w:t>
      </w:r>
      <w:r w:rsidR="00DF2D01" w:rsidRPr="00A00670">
        <w:t>e</w:t>
      </w:r>
      <w:r w:rsidR="00BF3221" w:rsidRPr="00A00670">
        <w:t>.</w:t>
      </w:r>
      <w:r w:rsidR="00636F36" w:rsidRPr="00A00670">
        <w:t xml:space="preserve"> </w:t>
      </w:r>
      <w:r w:rsidR="00834E81" w:rsidRPr="00A00670">
        <w:t>P</w:t>
      </w:r>
      <w:r w:rsidR="00462F35" w:rsidRPr="00A00670">
        <w:t>ovpraševanj</w:t>
      </w:r>
      <w:r w:rsidR="00834E81" w:rsidRPr="00A00670">
        <w:t xml:space="preserve">e </w:t>
      </w:r>
      <w:r w:rsidR="00462F35" w:rsidRPr="00A00670">
        <w:t>spodbuja</w:t>
      </w:r>
      <w:r w:rsidR="00586669" w:rsidRPr="00A00670">
        <w:t>jo predvsem nizke obrestne mere in veliki prihranki prebivalstva. Z</w:t>
      </w:r>
      <w:r w:rsidR="00834E81" w:rsidRPr="00A00670">
        <w:t>višanja</w:t>
      </w:r>
      <w:r w:rsidRPr="00A00670">
        <w:t xml:space="preserve"> </w:t>
      </w:r>
      <w:r w:rsidR="00586669" w:rsidRPr="00A00670">
        <w:t xml:space="preserve">obrestnih mer </w:t>
      </w:r>
      <w:r w:rsidRPr="00A00670">
        <w:t>pa</w:t>
      </w:r>
      <w:r w:rsidR="00834E81" w:rsidRPr="00A00670">
        <w:t xml:space="preserve">, glede na pandemijo Covid-19 in svetovne ekonomske razmere, </w:t>
      </w:r>
      <w:r w:rsidR="00586669" w:rsidRPr="00A00670">
        <w:t xml:space="preserve">vsaj srednjeročno </w:t>
      </w:r>
      <w:r w:rsidR="00834E81" w:rsidRPr="00A00670">
        <w:t>ni pričakovati.</w:t>
      </w:r>
      <w:r w:rsidR="00793A6E" w:rsidRPr="00A00670">
        <w:t xml:space="preserve"> </w:t>
      </w:r>
    </w:p>
    <w:p w14:paraId="79BA31CE" w14:textId="3FEB73C4" w:rsidR="00586669" w:rsidRPr="00A00670" w:rsidRDefault="00704125" w:rsidP="00F379AC">
      <w:pPr>
        <w:jc w:val="both"/>
      </w:pPr>
      <w:r w:rsidRPr="00A00670">
        <w:t xml:space="preserve">Po drugi strani pritisk na rast cen novih stanovanjskih nepremičnin na strani ponudbe ustvarjata tudi rast cen zemljišč za njihovo gradnjo in rast stroškov gradnje, predvsem </w:t>
      </w:r>
      <w:r w:rsidR="00830CC1" w:rsidRPr="00A00670">
        <w:t xml:space="preserve">vse višje cene </w:t>
      </w:r>
      <w:r w:rsidRPr="00A00670">
        <w:t xml:space="preserve">gradbenega materiala.    </w:t>
      </w:r>
      <w:r w:rsidR="00586669" w:rsidRPr="00A00670">
        <w:t xml:space="preserve"> </w:t>
      </w:r>
    </w:p>
    <w:p w14:paraId="6B5B43B5" w14:textId="77777777" w:rsidR="00252400" w:rsidRPr="00A00670" w:rsidRDefault="00636F36" w:rsidP="00F379AC">
      <w:pPr>
        <w:jc w:val="both"/>
      </w:pPr>
      <w:r w:rsidRPr="00A00670">
        <w:t>Ce</w:t>
      </w:r>
      <w:r w:rsidR="00DD24B8" w:rsidRPr="00A00670">
        <w:t xml:space="preserve">ne stanovanjskih nepremičnin </w:t>
      </w:r>
      <w:r w:rsidR="006A59F8" w:rsidRPr="00A00670">
        <w:t>bi</w:t>
      </w:r>
      <w:r w:rsidR="0077476B" w:rsidRPr="00A00670">
        <w:t xml:space="preserve"> </w:t>
      </w:r>
      <w:r w:rsidRPr="00A00670">
        <w:t xml:space="preserve">se </w:t>
      </w:r>
      <w:r w:rsidR="0077476B" w:rsidRPr="00A00670">
        <w:t>lahko ustali</w:t>
      </w:r>
      <w:r w:rsidR="006A59F8" w:rsidRPr="00A00670">
        <w:t>le</w:t>
      </w:r>
      <w:r w:rsidR="00DD24B8" w:rsidRPr="00A00670">
        <w:t>, ko bo na območjih kjer je povpraševanje največje prišl</w:t>
      </w:r>
      <w:r w:rsidR="00A6483A" w:rsidRPr="00A00670">
        <w:t>o</w:t>
      </w:r>
      <w:r w:rsidR="00DD24B8" w:rsidRPr="00A00670">
        <w:t xml:space="preserve"> na trg </w:t>
      </w:r>
      <w:r w:rsidR="00A6483A" w:rsidRPr="00A00670">
        <w:t>večje</w:t>
      </w:r>
      <w:r w:rsidR="00DD24B8" w:rsidRPr="00A00670">
        <w:t xml:space="preserve"> </w:t>
      </w:r>
      <w:r w:rsidR="00A6483A" w:rsidRPr="00A00670">
        <w:t xml:space="preserve">število </w:t>
      </w:r>
      <w:r w:rsidR="00DD24B8" w:rsidRPr="00A00670">
        <w:t xml:space="preserve">novogradenj. </w:t>
      </w:r>
      <w:r w:rsidR="00960204" w:rsidRPr="00A00670">
        <w:t>Glede na trenutno stanje novogradenj je to v</w:t>
      </w:r>
      <w:r w:rsidR="00DD24B8" w:rsidRPr="00A00670">
        <w:t xml:space="preserve"> </w:t>
      </w:r>
      <w:r w:rsidR="006A59F8" w:rsidRPr="00A00670">
        <w:t xml:space="preserve">Ljubljani </w:t>
      </w:r>
      <w:r w:rsidR="00DD24B8" w:rsidRPr="00A00670">
        <w:t>pričakovati v</w:t>
      </w:r>
      <w:r w:rsidR="00820BFE" w:rsidRPr="00A00670">
        <w:t xml:space="preserve"> naslednjih dveh do treh letih, v ostalih večjih mestih pa še s kakšnim letom zamika.</w:t>
      </w:r>
      <w:r w:rsidR="006A59F8" w:rsidRPr="00A00670">
        <w:t xml:space="preserve"> </w:t>
      </w:r>
      <w:r w:rsidR="00A6483A" w:rsidRPr="00A00670">
        <w:t>Seveda p</w:t>
      </w:r>
      <w:r w:rsidR="00960204" w:rsidRPr="00A00670">
        <w:t xml:space="preserve">od pogojem, da se socialne in gospodarske razmere zaradi posledic epidemije ne </w:t>
      </w:r>
      <w:r w:rsidR="0019584E" w:rsidRPr="00A00670">
        <w:t>bi</w:t>
      </w:r>
      <w:r w:rsidR="00834E81" w:rsidRPr="00A00670">
        <w:t xml:space="preserve"> poslabšale do te mere, da bi </w:t>
      </w:r>
      <w:r w:rsidR="00793A6E" w:rsidRPr="00A00670">
        <w:t xml:space="preserve">zaradi </w:t>
      </w:r>
      <w:r w:rsidR="00960204" w:rsidRPr="00A00670">
        <w:t xml:space="preserve">zmanjšanja plačilno sposobnega povpraševanja </w:t>
      </w:r>
      <w:r w:rsidR="0019584E" w:rsidRPr="00A00670">
        <w:t xml:space="preserve">in previsokih cen prišlo </w:t>
      </w:r>
      <w:r w:rsidR="00B94779" w:rsidRPr="00A00670">
        <w:t>do presežne ponudbe novih stanovanj že prej in bi se začeli načrtovani oziroma že začeti gradbeni projekti zaustavljati.</w:t>
      </w:r>
      <w:r w:rsidR="00586669" w:rsidRPr="00A00670">
        <w:t xml:space="preserve"> </w:t>
      </w:r>
    </w:p>
    <w:p w14:paraId="43656E3F" w14:textId="67A63F85" w:rsidR="00586669" w:rsidRPr="00A00670" w:rsidRDefault="00586669" w:rsidP="00F379AC">
      <w:pPr>
        <w:jc w:val="both"/>
      </w:pPr>
      <w:r w:rsidRPr="00A00670">
        <w:t xml:space="preserve">Obrat </w:t>
      </w:r>
      <w:r w:rsidR="00252400" w:rsidRPr="00A00670">
        <w:t xml:space="preserve">cen </w:t>
      </w:r>
      <w:r w:rsidRPr="00A00670">
        <w:t xml:space="preserve">stanovanjskih nepremičnin lahko torej pričakujemo šele, </w:t>
      </w:r>
      <w:r w:rsidR="00B94779" w:rsidRPr="00A00670">
        <w:t>ko bo prišlo do presežne ponudbe</w:t>
      </w:r>
      <w:r w:rsidRPr="00A00670">
        <w:t>. Če ponudniki novih stanovanj takrat ne bodo pripravljeni zniževati cen</w:t>
      </w:r>
      <w:r w:rsidR="00252400" w:rsidRPr="00A00670">
        <w:t>,</w:t>
      </w:r>
      <w:r w:rsidRPr="00A00670">
        <w:t xml:space="preserve"> </w:t>
      </w:r>
      <w:r w:rsidR="00252400" w:rsidRPr="00A00670">
        <w:t xml:space="preserve">bo to privedlo do zmanjšanja prodaje in </w:t>
      </w:r>
      <w:r w:rsidRPr="00A00670">
        <w:t>kopič</w:t>
      </w:r>
      <w:r w:rsidR="00252400" w:rsidRPr="00A00670">
        <w:t xml:space="preserve">enja </w:t>
      </w:r>
      <w:r w:rsidR="0019584E" w:rsidRPr="00A00670">
        <w:t>zalog neprodanih stanovanj</w:t>
      </w:r>
      <w:r w:rsidRPr="00A00670">
        <w:t xml:space="preserve">, </w:t>
      </w:r>
      <w:r w:rsidR="00252400" w:rsidRPr="00A00670">
        <w:t xml:space="preserve">oziroma do nove krize nepremičninskega trga, ki bo na koncu slej kot prej privedla </w:t>
      </w:r>
      <w:r w:rsidR="00B2247B" w:rsidRPr="00A00670">
        <w:t xml:space="preserve">tudi </w:t>
      </w:r>
      <w:r w:rsidR="00252400" w:rsidRPr="00A00670">
        <w:t>do padca cen.</w:t>
      </w:r>
    </w:p>
    <w:p w14:paraId="0CC4AEB6" w14:textId="49446E61" w:rsidR="00517E44" w:rsidRDefault="00517E44" w:rsidP="00517E44">
      <w:pPr>
        <w:pStyle w:val="NAPISp"/>
        <w:jc w:val="both"/>
      </w:pPr>
      <w:r w:rsidRPr="00A00670">
        <w:lastRenderedPageBreak/>
        <w:t xml:space="preserve">Slika </w:t>
      </w:r>
      <w:fldSimple w:instr=" SEQ Slika \* ARABIC ">
        <w:r>
          <w:rPr>
            <w:noProof/>
          </w:rPr>
          <w:t>8</w:t>
        </w:r>
      </w:fldSimple>
      <w:r w:rsidRPr="00A00670">
        <w:t xml:space="preserve">: </w:t>
      </w:r>
      <w:r w:rsidR="00370141">
        <w:t>Napotki vlade RS Slovenije glede preprečevanja širjenja bolezni COVID—19</w:t>
      </w:r>
    </w:p>
    <w:p w14:paraId="53E93B59" w14:textId="77777777" w:rsidR="00370141" w:rsidRPr="00A00670" w:rsidRDefault="00370141" w:rsidP="00517E44">
      <w:pPr>
        <w:pStyle w:val="NAPISp"/>
        <w:jc w:val="both"/>
      </w:pPr>
    </w:p>
    <w:p w14:paraId="5F71E763" w14:textId="70778599" w:rsidR="00FA6249" w:rsidRPr="00A00670" w:rsidRDefault="00370141" w:rsidP="004247AD">
      <w:pPr>
        <w:jc w:val="both"/>
      </w:pPr>
      <w:r>
        <w:rPr>
          <w:noProof/>
        </w:rPr>
        <w:drawing>
          <wp:inline distT="0" distB="0" distL="0" distR="0" wp14:anchorId="08012CCA" wp14:editId="1A8239FA">
            <wp:extent cx="5760720" cy="8112125"/>
            <wp:effectExtent l="0" t="0" r="0" b="3175"/>
            <wp:docPr id="2" name="Slika 2" descr="Štirje najučinkovitejši ukrepi za preprečevanje okužbe so:&#10;1. Ohranjanje dveh metrov razdalje med ljudmi 2 metra;&#10;2.  Redno umivanje in razkuževanje rok;&#10;3. Vključena aplikacija #OstaniZdrav;&#10;4. Nošenje zaščitne ma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Štirje najučinkovitejši ukrepi za preprečevanje okužbe so:&#10;1. Ohranjanje dveh metrov razdalje med ljudmi 2 metra;&#10;2.  Redno umivanje in razkuževanje rok;&#10;3. Vključena aplikacija #OstaniZdrav;&#10;4. Nošenje zaščitne mask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8112125"/>
                    </a:xfrm>
                    <a:prstGeom prst="rect">
                      <a:avLst/>
                    </a:prstGeom>
                    <a:noFill/>
                    <a:ln>
                      <a:noFill/>
                    </a:ln>
                  </pic:spPr>
                </pic:pic>
              </a:graphicData>
            </a:graphic>
          </wp:inline>
        </w:drawing>
      </w:r>
    </w:p>
    <w:sectPr w:rsidR="00FA6249" w:rsidRPr="00A0067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1C474" w14:textId="77777777" w:rsidR="00517E44" w:rsidRDefault="00517E44" w:rsidP="0077789B">
      <w:pPr>
        <w:spacing w:after="0" w:line="240" w:lineRule="auto"/>
      </w:pPr>
      <w:r>
        <w:separator/>
      </w:r>
    </w:p>
  </w:endnote>
  <w:endnote w:type="continuationSeparator" w:id="0">
    <w:p w14:paraId="1790A6D8" w14:textId="77777777" w:rsidR="00517E44" w:rsidRDefault="00517E44" w:rsidP="0077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16034" w14:textId="77777777" w:rsidR="00517E44" w:rsidRDefault="00517E4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629563"/>
      <w:docPartObj>
        <w:docPartGallery w:val="Page Numbers (Bottom of Page)"/>
        <w:docPartUnique/>
      </w:docPartObj>
    </w:sdtPr>
    <w:sdtContent>
      <w:p w14:paraId="7C340912" w14:textId="1968CEC9" w:rsidR="00517E44" w:rsidRDefault="00517E44">
        <w:pPr>
          <w:pStyle w:val="Noga"/>
          <w:jc w:val="right"/>
        </w:pPr>
        <w:r>
          <w:fldChar w:fldCharType="begin"/>
        </w:r>
        <w:r>
          <w:instrText>PAGE   \* MERGEFORMAT</w:instrText>
        </w:r>
        <w:r>
          <w:fldChar w:fldCharType="separate"/>
        </w:r>
        <w:r>
          <w:rPr>
            <w:noProof/>
          </w:rPr>
          <w:t>15</w:t>
        </w:r>
        <w:r>
          <w:fldChar w:fldCharType="end"/>
        </w:r>
      </w:p>
    </w:sdtContent>
  </w:sdt>
  <w:p w14:paraId="0753355D" w14:textId="77777777" w:rsidR="00517E44" w:rsidRDefault="00517E4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31E08" w14:textId="77777777" w:rsidR="00517E44" w:rsidRDefault="00517E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736D" w14:textId="77777777" w:rsidR="00517E44" w:rsidRDefault="00517E44" w:rsidP="0077789B">
      <w:pPr>
        <w:spacing w:after="0" w:line="240" w:lineRule="auto"/>
      </w:pPr>
      <w:r>
        <w:separator/>
      </w:r>
    </w:p>
  </w:footnote>
  <w:footnote w:type="continuationSeparator" w:id="0">
    <w:p w14:paraId="46725173" w14:textId="77777777" w:rsidR="00517E44" w:rsidRDefault="00517E44" w:rsidP="00777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6D57" w14:textId="77777777" w:rsidR="00517E44" w:rsidRDefault="00517E4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04BB" w14:textId="77777777" w:rsidR="00517E44" w:rsidRDefault="00517E4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CCE21" w14:textId="77777777" w:rsidR="00517E44" w:rsidRDefault="00517E4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919F2"/>
    <w:multiLevelType w:val="hybridMultilevel"/>
    <w:tmpl w:val="08783DDA"/>
    <w:lvl w:ilvl="0" w:tplc="B9D0DD86">
      <w:start w:val="1"/>
      <w:numFmt w:val="bullet"/>
      <w:lvlText w:val="-"/>
      <w:lvlJc w:val="left"/>
      <w:pPr>
        <w:ind w:left="1776" w:hanging="360"/>
      </w:pPr>
      <w:rPr>
        <w:rFonts w:ascii="Calibri" w:eastAsiaTheme="minorHAnsi" w:hAnsi="Calibri" w:cs="Calibri"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 w15:restartNumberingAfterBreak="0">
    <w:nsid w:val="29AF69C4"/>
    <w:multiLevelType w:val="hybridMultilevel"/>
    <w:tmpl w:val="4AA2A9D6"/>
    <w:lvl w:ilvl="0" w:tplc="139E00EA">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72C579A"/>
    <w:multiLevelType w:val="hybridMultilevel"/>
    <w:tmpl w:val="3BA21D6A"/>
    <w:lvl w:ilvl="0" w:tplc="F0F20138">
      <w:start w:val="1"/>
      <w:numFmt w:val="bullet"/>
      <w:lvlText w:val="-"/>
      <w:lvlJc w:val="left"/>
      <w:pPr>
        <w:ind w:left="360" w:hanging="360"/>
      </w:pPr>
      <w:rPr>
        <w:rFonts w:ascii="Calibri" w:eastAsia="Times New Roman" w:hAnsi="Calibri" w:hint="default"/>
      </w:rPr>
    </w:lvl>
    <w:lvl w:ilvl="1" w:tplc="04240003">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4B5249C7"/>
    <w:multiLevelType w:val="hybridMultilevel"/>
    <w:tmpl w:val="6C7A1084"/>
    <w:lvl w:ilvl="0" w:tplc="AB1A7C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7074EB"/>
    <w:multiLevelType w:val="hybridMultilevel"/>
    <w:tmpl w:val="17988772"/>
    <w:lvl w:ilvl="0" w:tplc="A6440DF6">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8D"/>
    <w:rsid w:val="00002100"/>
    <w:rsid w:val="00010DC9"/>
    <w:rsid w:val="00016F7A"/>
    <w:rsid w:val="00024479"/>
    <w:rsid w:val="0002600C"/>
    <w:rsid w:val="00034585"/>
    <w:rsid w:val="0004645C"/>
    <w:rsid w:val="00050574"/>
    <w:rsid w:val="00056BFF"/>
    <w:rsid w:val="00062020"/>
    <w:rsid w:val="0007227A"/>
    <w:rsid w:val="00077207"/>
    <w:rsid w:val="00097120"/>
    <w:rsid w:val="000A3B79"/>
    <w:rsid w:val="000C1618"/>
    <w:rsid w:val="000C57B3"/>
    <w:rsid w:val="000C7011"/>
    <w:rsid w:val="000D23B5"/>
    <w:rsid w:val="000E398D"/>
    <w:rsid w:val="0010112D"/>
    <w:rsid w:val="00114CA9"/>
    <w:rsid w:val="00120BA5"/>
    <w:rsid w:val="00122A95"/>
    <w:rsid w:val="00160724"/>
    <w:rsid w:val="00160EE2"/>
    <w:rsid w:val="00165F1B"/>
    <w:rsid w:val="00174146"/>
    <w:rsid w:val="00176FBF"/>
    <w:rsid w:val="00187243"/>
    <w:rsid w:val="0019232A"/>
    <w:rsid w:val="00194FF6"/>
    <w:rsid w:val="0019584E"/>
    <w:rsid w:val="001B2BA3"/>
    <w:rsid w:val="001B60CC"/>
    <w:rsid w:val="001B6C77"/>
    <w:rsid w:val="001C1D94"/>
    <w:rsid w:val="001C2A71"/>
    <w:rsid w:val="001C6CF0"/>
    <w:rsid w:val="001D0727"/>
    <w:rsid w:val="001D0CE9"/>
    <w:rsid w:val="001D71DC"/>
    <w:rsid w:val="001E1B66"/>
    <w:rsid w:val="001F305D"/>
    <w:rsid w:val="001F5B3C"/>
    <w:rsid w:val="00203FC5"/>
    <w:rsid w:val="00205E29"/>
    <w:rsid w:val="00206221"/>
    <w:rsid w:val="00212756"/>
    <w:rsid w:val="00234C64"/>
    <w:rsid w:val="00242782"/>
    <w:rsid w:val="00242AF5"/>
    <w:rsid w:val="002431FD"/>
    <w:rsid w:val="00252400"/>
    <w:rsid w:val="00264F36"/>
    <w:rsid w:val="00266EC5"/>
    <w:rsid w:val="00276229"/>
    <w:rsid w:val="002B5999"/>
    <w:rsid w:val="002B5A87"/>
    <w:rsid w:val="002C1747"/>
    <w:rsid w:val="002C5051"/>
    <w:rsid w:val="002C7DEC"/>
    <w:rsid w:val="002D28C9"/>
    <w:rsid w:val="002E6A61"/>
    <w:rsid w:val="002F29A4"/>
    <w:rsid w:val="002F3E6F"/>
    <w:rsid w:val="002F4FDC"/>
    <w:rsid w:val="0030098D"/>
    <w:rsid w:val="00325561"/>
    <w:rsid w:val="00341443"/>
    <w:rsid w:val="0034336A"/>
    <w:rsid w:val="00354556"/>
    <w:rsid w:val="003674F5"/>
    <w:rsid w:val="00370141"/>
    <w:rsid w:val="00386C4C"/>
    <w:rsid w:val="00393DDC"/>
    <w:rsid w:val="003A3551"/>
    <w:rsid w:val="003A7801"/>
    <w:rsid w:val="003B7099"/>
    <w:rsid w:val="003C55E5"/>
    <w:rsid w:val="003D1077"/>
    <w:rsid w:val="003D5DD1"/>
    <w:rsid w:val="003E3042"/>
    <w:rsid w:val="003F0CC2"/>
    <w:rsid w:val="00407040"/>
    <w:rsid w:val="0041311C"/>
    <w:rsid w:val="00416F8F"/>
    <w:rsid w:val="00420BC5"/>
    <w:rsid w:val="004247AD"/>
    <w:rsid w:val="00430E12"/>
    <w:rsid w:val="00451AE7"/>
    <w:rsid w:val="00462F35"/>
    <w:rsid w:val="00464CF0"/>
    <w:rsid w:val="004653BB"/>
    <w:rsid w:val="00465D98"/>
    <w:rsid w:val="00471742"/>
    <w:rsid w:val="00491160"/>
    <w:rsid w:val="00495AE8"/>
    <w:rsid w:val="00497B6A"/>
    <w:rsid w:val="004A06D3"/>
    <w:rsid w:val="004A2119"/>
    <w:rsid w:val="004B7635"/>
    <w:rsid w:val="004C09FC"/>
    <w:rsid w:val="004C69D5"/>
    <w:rsid w:val="004E6C73"/>
    <w:rsid w:val="00500FF3"/>
    <w:rsid w:val="00504AF4"/>
    <w:rsid w:val="00504B51"/>
    <w:rsid w:val="00506514"/>
    <w:rsid w:val="00506E0B"/>
    <w:rsid w:val="00516CF3"/>
    <w:rsid w:val="00517E44"/>
    <w:rsid w:val="0053472E"/>
    <w:rsid w:val="005447C0"/>
    <w:rsid w:val="00547300"/>
    <w:rsid w:val="00551249"/>
    <w:rsid w:val="005525E1"/>
    <w:rsid w:val="00556A4E"/>
    <w:rsid w:val="00557652"/>
    <w:rsid w:val="0055777F"/>
    <w:rsid w:val="00574C51"/>
    <w:rsid w:val="00586669"/>
    <w:rsid w:val="0059476B"/>
    <w:rsid w:val="0059614E"/>
    <w:rsid w:val="00597D2E"/>
    <w:rsid w:val="005A570B"/>
    <w:rsid w:val="005B0633"/>
    <w:rsid w:val="005B08B0"/>
    <w:rsid w:val="005B0A51"/>
    <w:rsid w:val="005C6AB5"/>
    <w:rsid w:val="005D03E4"/>
    <w:rsid w:val="005D1CD1"/>
    <w:rsid w:val="005D3E29"/>
    <w:rsid w:val="005E36C5"/>
    <w:rsid w:val="005F0886"/>
    <w:rsid w:val="006029FC"/>
    <w:rsid w:val="00602D2D"/>
    <w:rsid w:val="0061400F"/>
    <w:rsid w:val="00624C66"/>
    <w:rsid w:val="00625809"/>
    <w:rsid w:val="00632846"/>
    <w:rsid w:val="00634E31"/>
    <w:rsid w:val="00636F36"/>
    <w:rsid w:val="00656EE7"/>
    <w:rsid w:val="006612CD"/>
    <w:rsid w:val="00671E3A"/>
    <w:rsid w:val="00676318"/>
    <w:rsid w:val="0068046B"/>
    <w:rsid w:val="00680ED9"/>
    <w:rsid w:val="006917F2"/>
    <w:rsid w:val="006A2AE9"/>
    <w:rsid w:val="006A3D3A"/>
    <w:rsid w:val="006A59F8"/>
    <w:rsid w:val="006B2454"/>
    <w:rsid w:val="006B4E4E"/>
    <w:rsid w:val="006B65F8"/>
    <w:rsid w:val="006B71EE"/>
    <w:rsid w:val="006C23F6"/>
    <w:rsid w:val="006D08D1"/>
    <w:rsid w:val="006D0A6A"/>
    <w:rsid w:val="006D75B1"/>
    <w:rsid w:val="006E2DE8"/>
    <w:rsid w:val="006E3899"/>
    <w:rsid w:val="006E4CC9"/>
    <w:rsid w:val="007013E9"/>
    <w:rsid w:val="00704125"/>
    <w:rsid w:val="00704478"/>
    <w:rsid w:val="00726920"/>
    <w:rsid w:val="007274B2"/>
    <w:rsid w:val="00745BE2"/>
    <w:rsid w:val="007507CC"/>
    <w:rsid w:val="0075572A"/>
    <w:rsid w:val="00757860"/>
    <w:rsid w:val="0077476B"/>
    <w:rsid w:val="0077789B"/>
    <w:rsid w:val="00793A6E"/>
    <w:rsid w:val="007948DC"/>
    <w:rsid w:val="00795B3A"/>
    <w:rsid w:val="007A70D0"/>
    <w:rsid w:val="007B7BBB"/>
    <w:rsid w:val="007C02F9"/>
    <w:rsid w:val="007E6FDA"/>
    <w:rsid w:val="007F7740"/>
    <w:rsid w:val="008010CD"/>
    <w:rsid w:val="00820BFE"/>
    <w:rsid w:val="00830CC1"/>
    <w:rsid w:val="00834DB2"/>
    <w:rsid w:val="00834E81"/>
    <w:rsid w:val="008362DE"/>
    <w:rsid w:val="0085316C"/>
    <w:rsid w:val="00854C12"/>
    <w:rsid w:val="00863989"/>
    <w:rsid w:val="008659A9"/>
    <w:rsid w:val="00867184"/>
    <w:rsid w:val="0088163F"/>
    <w:rsid w:val="00886DC5"/>
    <w:rsid w:val="00892EF6"/>
    <w:rsid w:val="008A1778"/>
    <w:rsid w:val="008A40F1"/>
    <w:rsid w:val="008B61DA"/>
    <w:rsid w:val="008C314F"/>
    <w:rsid w:val="008C42B2"/>
    <w:rsid w:val="008D3367"/>
    <w:rsid w:val="008D79B4"/>
    <w:rsid w:val="008E052A"/>
    <w:rsid w:val="008F29C7"/>
    <w:rsid w:val="008F3853"/>
    <w:rsid w:val="00902DAF"/>
    <w:rsid w:val="00904E73"/>
    <w:rsid w:val="009137DD"/>
    <w:rsid w:val="009263E5"/>
    <w:rsid w:val="00927F93"/>
    <w:rsid w:val="00936CEE"/>
    <w:rsid w:val="0094254D"/>
    <w:rsid w:val="00960204"/>
    <w:rsid w:val="009816DB"/>
    <w:rsid w:val="00982D20"/>
    <w:rsid w:val="00983094"/>
    <w:rsid w:val="009848A7"/>
    <w:rsid w:val="009A2AAD"/>
    <w:rsid w:val="009A40D0"/>
    <w:rsid w:val="009B042E"/>
    <w:rsid w:val="009D37FE"/>
    <w:rsid w:val="009E1780"/>
    <w:rsid w:val="009F4804"/>
    <w:rsid w:val="009F549D"/>
    <w:rsid w:val="009F7448"/>
    <w:rsid w:val="00A00670"/>
    <w:rsid w:val="00A00AAC"/>
    <w:rsid w:val="00A122E3"/>
    <w:rsid w:val="00A20847"/>
    <w:rsid w:val="00A234D5"/>
    <w:rsid w:val="00A2364A"/>
    <w:rsid w:val="00A26BAB"/>
    <w:rsid w:val="00A320E7"/>
    <w:rsid w:val="00A322BE"/>
    <w:rsid w:val="00A469B9"/>
    <w:rsid w:val="00A50B57"/>
    <w:rsid w:val="00A60E68"/>
    <w:rsid w:val="00A615B3"/>
    <w:rsid w:val="00A6483A"/>
    <w:rsid w:val="00A6521F"/>
    <w:rsid w:val="00A7013A"/>
    <w:rsid w:val="00A75B8F"/>
    <w:rsid w:val="00A821DA"/>
    <w:rsid w:val="00A90936"/>
    <w:rsid w:val="00A90B03"/>
    <w:rsid w:val="00A94583"/>
    <w:rsid w:val="00AA1A17"/>
    <w:rsid w:val="00AA1D81"/>
    <w:rsid w:val="00AA5FB4"/>
    <w:rsid w:val="00AC0FFA"/>
    <w:rsid w:val="00AC1E30"/>
    <w:rsid w:val="00AC257E"/>
    <w:rsid w:val="00AD35E7"/>
    <w:rsid w:val="00AD5E38"/>
    <w:rsid w:val="00AE1DD4"/>
    <w:rsid w:val="00AE23E7"/>
    <w:rsid w:val="00AE49DE"/>
    <w:rsid w:val="00AF0F5B"/>
    <w:rsid w:val="00AF66BA"/>
    <w:rsid w:val="00B01D40"/>
    <w:rsid w:val="00B06727"/>
    <w:rsid w:val="00B2247B"/>
    <w:rsid w:val="00B24438"/>
    <w:rsid w:val="00B33379"/>
    <w:rsid w:val="00B42C04"/>
    <w:rsid w:val="00B43FD4"/>
    <w:rsid w:val="00B50C6D"/>
    <w:rsid w:val="00B52C56"/>
    <w:rsid w:val="00B54C04"/>
    <w:rsid w:val="00B619B0"/>
    <w:rsid w:val="00B70F5F"/>
    <w:rsid w:val="00B91F35"/>
    <w:rsid w:val="00B94779"/>
    <w:rsid w:val="00BB077F"/>
    <w:rsid w:val="00BB2670"/>
    <w:rsid w:val="00BB5E01"/>
    <w:rsid w:val="00BC179D"/>
    <w:rsid w:val="00BD2536"/>
    <w:rsid w:val="00BD5AA4"/>
    <w:rsid w:val="00BE0F84"/>
    <w:rsid w:val="00BF2482"/>
    <w:rsid w:val="00BF3221"/>
    <w:rsid w:val="00BF3FC9"/>
    <w:rsid w:val="00C025A9"/>
    <w:rsid w:val="00C06139"/>
    <w:rsid w:val="00C20311"/>
    <w:rsid w:val="00C20470"/>
    <w:rsid w:val="00C51204"/>
    <w:rsid w:val="00C552CC"/>
    <w:rsid w:val="00C65BA0"/>
    <w:rsid w:val="00C712E6"/>
    <w:rsid w:val="00C820CC"/>
    <w:rsid w:val="00C93536"/>
    <w:rsid w:val="00CA079C"/>
    <w:rsid w:val="00CA5464"/>
    <w:rsid w:val="00CB5669"/>
    <w:rsid w:val="00CB5D8C"/>
    <w:rsid w:val="00CC3E48"/>
    <w:rsid w:val="00D04FBC"/>
    <w:rsid w:val="00D12BD6"/>
    <w:rsid w:val="00D13E3B"/>
    <w:rsid w:val="00D2027D"/>
    <w:rsid w:val="00D22743"/>
    <w:rsid w:val="00D27D78"/>
    <w:rsid w:val="00D32DF7"/>
    <w:rsid w:val="00D36EC5"/>
    <w:rsid w:val="00D45FBA"/>
    <w:rsid w:val="00D46786"/>
    <w:rsid w:val="00D477EC"/>
    <w:rsid w:val="00D509BF"/>
    <w:rsid w:val="00D64CC0"/>
    <w:rsid w:val="00D768BA"/>
    <w:rsid w:val="00D7758B"/>
    <w:rsid w:val="00D82B03"/>
    <w:rsid w:val="00D83D26"/>
    <w:rsid w:val="00DB496A"/>
    <w:rsid w:val="00DB5447"/>
    <w:rsid w:val="00DC0028"/>
    <w:rsid w:val="00DC71D3"/>
    <w:rsid w:val="00DD0328"/>
    <w:rsid w:val="00DD24B8"/>
    <w:rsid w:val="00DE1577"/>
    <w:rsid w:val="00DF2D01"/>
    <w:rsid w:val="00E055FE"/>
    <w:rsid w:val="00E14935"/>
    <w:rsid w:val="00E354CF"/>
    <w:rsid w:val="00E41994"/>
    <w:rsid w:val="00E97044"/>
    <w:rsid w:val="00E9718E"/>
    <w:rsid w:val="00E979E2"/>
    <w:rsid w:val="00EA60FC"/>
    <w:rsid w:val="00EC408F"/>
    <w:rsid w:val="00EC715A"/>
    <w:rsid w:val="00F16115"/>
    <w:rsid w:val="00F2121E"/>
    <w:rsid w:val="00F24F09"/>
    <w:rsid w:val="00F2613A"/>
    <w:rsid w:val="00F26A5D"/>
    <w:rsid w:val="00F379AC"/>
    <w:rsid w:val="00F44C0B"/>
    <w:rsid w:val="00F62E11"/>
    <w:rsid w:val="00F63E29"/>
    <w:rsid w:val="00F64D81"/>
    <w:rsid w:val="00F7194A"/>
    <w:rsid w:val="00F72450"/>
    <w:rsid w:val="00F76174"/>
    <w:rsid w:val="00F76A6E"/>
    <w:rsid w:val="00F918C5"/>
    <w:rsid w:val="00FA6249"/>
    <w:rsid w:val="00FA7AF2"/>
    <w:rsid w:val="00FB1A1A"/>
    <w:rsid w:val="00FD0838"/>
    <w:rsid w:val="00FD0E2C"/>
    <w:rsid w:val="00FD3867"/>
    <w:rsid w:val="00FD4E6B"/>
    <w:rsid w:val="00FD7C8A"/>
    <w:rsid w:val="00FE12C3"/>
    <w:rsid w:val="00FE2F54"/>
    <w:rsid w:val="00FF0EE6"/>
    <w:rsid w:val="00FF3912"/>
    <w:rsid w:val="00FF6023"/>
    <w:rsid w:val="00FF6D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5FF8"/>
  <w15:chartTrackingRefBased/>
  <w15:docId w15:val="{D21C2268-1857-4F6B-81A4-B7030354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300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3009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0098D"/>
    <w:rPr>
      <w:rFonts w:asciiTheme="majorHAnsi" w:eastAsiaTheme="majorEastAsia" w:hAnsiTheme="majorHAnsi" w:cstheme="majorBidi"/>
      <w:color w:val="2F5496" w:themeColor="accent1" w:themeShade="BF"/>
      <w:sz w:val="32"/>
      <w:szCs w:val="32"/>
    </w:rPr>
  </w:style>
  <w:style w:type="paragraph" w:customStyle="1" w:styleId="Naslov1p">
    <w:name w:val="Naslov 1p"/>
    <w:basedOn w:val="Naslov1"/>
    <w:link w:val="Naslov1pZnak"/>
    <w:qFormat/>
    <w:rsid w:val="0030098D"/>
    <w:rPr>
      <w:b/>
      <w:color w:val="auto"/>
    </w:rPr>
  </w:style>
  <w:style w:type="character" w:customStyle="1" w:styleId="Naslov2Znak">
    <w:name w:val="Naslov 2 Znak"/>
    <w:basedOn w:val="Privzetapisavaodstavka"/>
    <w:link w:val="Naslov2"/>
    <w:uiPriority w:val="9"/>
    <w:rsid w:val="0030098D"/>
    <w:rPr>
      <w:rFonts w:asciiTheme="majorHAnsi" w:eastAsiaTheme="majorEastAsia" w:hAnsiTheme="majorHAnsi" w:cstheme="majorBidi"/>
      <w:color w:val="2F5496" w:themeColor="accent1" w:themeShade="BF"/>
      <w:sz w:val="26"/>
      <w:szCs w:val="26"/>
    </w:rPr>
  </w:style>
  <w:style w:type="character" w:customStyle="1" w:styleId="Naslov1pZnak">
    <w:name w:val="Naslov 1p Znak"/>
    <w:basedOn w:val="Naslov1Znak"/>
    <w:link w:val="Naslov1p"/>
    <w:rsid w:val="0030098D"/>
    <w:rPr>
      <w:rFonts w:asciiTheme="majorHAnsi" w:eastAsiaTheme="majorEastAsia" w:hAnsiTheme="majorHAnsi" w:cstheme="majorBidi"/>
      <w:b/>
      <w:color w:val="2F5496" w:themeColor="accent1" w:themeShade="BF"/>
      <w:sz w:val="32"/>
      <w:szCs w:val="32"/>
    </w:rPr>
  </w:style>
  <w:style w:type="paragraph" w:styleId="Napis">
    <w:name w:val="caption"/>
    <w:basedOn w:val="Navaden"/>
    <w:next w:val="Navaden"/>
    <w:link w:val="NapisZnak"/>
    <w:uiPriority w:val="35"/>
    <w:unhideWhenUsed/>
    <w:qFormat/>
    <w:rsid w:val="000C1618"/>
    <w:pPr>
      <w:spacing w:after="200" w:line="240" w:lineRule="auto"/>
    </w:pPr>
    <w:rPr>
      <w:i/>
      <w:iCs/>
      <w:color w:val="44546A" w:themeColor="text2"/>
      <w:sz w:val="18"/>
      <w:szCs w:val="18"/>
    </w:rPr>
  </w:style>
  <w:style w:type="table" w:styleId="Tabelamrea">
    <w:name w:val="Table Grid"/>
    <w:basedOn w:val="Navadnatabela"/>
    <w:uiPriority w:val="39"/>
    <w:rsid w:val="000C1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PISp">
    <w:name w:val="NAPISp"/>
    <w:basedOn w:val="Napis"/>
    <w:link w:val="NAPISpZnak"/>
    <w:qFormat/>
    <w:rsid w:val="006D0A6A"/>
    <w:rPr>
      <w:color w:val="auto"/>
      <w:sz w:val="24"/>
    </w:rPr>
  </w:style>
  <w:style w:type="paragraph" w:customStyle="1" w:styleId="janopombe">
    <w:name w:val="jan_opombe"/>
    <w:basedOn w:val="Brezrazmikov"/>
    <w:link w:val="janopombeZnak"/>
    <w:qFormat/>
    <w:rsid w:val="00B54C04"/>
    <w:rPr>
      <w:rFonts w:eastAsia="Times New Roman" w:cs="Times New Roman"/>
      <w:i/>
      <w:iCs/>
      <w:sz w:val="18"/>
      <w:szCs w:val="18"/>
    </w:rPr>
  </w:style>
  <w:style w:type="character" w:customStyle="1" w:styleId="NapisZnak">
    <w:name w:val="Napis Znak"/>
    <w:basedOn w:val="Privzetapisavaodstavka"/>
    <w:link w:val="Napis"/>
    <w:uiPriority w:val="35"/>
    <w:rsid w:val="006D0A6A"/>
    <w:rPr>
      <w:i/>
      <w:iCs/>
      <w:color w:val="44546A" w:themeColor="text2"/>
      <w:sz w:val="18"/>
      <w:szCs w:val="18"/>
    </w:rPr>
  </w:style>
  <w:style w:type="character" w:customStyle="1" w:styleId="NAPISpZnak">
    <w:name w:val="NAPISp Znak"/>
    <w:basedOn w:val="NapisZnak"/>
    <w:link w:val="NAPISp"/>
    <w:rsid w:val="006D0A6A"/>
    <w:rPr>
      <w:i/>
      <w:iCs/>
      <w:color w:val="44546A" w:themeColor="text2"/>
      <w:sz w:val="24"/>
      <w:szCs w:val="18"/>
    </w:rPr>
  </w:style>
  <w:style w:type="character" w:customStyle="1" w:styleId="janopombeZnak">
    <w:name w:val="jan_opombe Znak"/>
    <w:basedOn w:val="Privzetapisavaodstavka"/>
    <w:link w:val="janopombe"/>
    <w:locked/>
    <w:rsid w:val="00B54C04"/>
    <w:rPr>
      <w:rFonts w:eastAsia="Times New Roman" w:cs="Times New Roman"/>
      <w:i/>
      <w:iCs/>
      <w:sz w:val="18"/>
      <w:szCs w:val="18"/>
    </w:rPr>
  </w:style>
  <w:style w:type="paragraph" w:styleId="Brezrazmikov">
    <w:name w:val="No Spacing"/>
    <w:uiPriority w:val="1"/>
    <w:qFormat/>
    <w:rsid w:val="00B54C04"/>
    <w:pPr>
      <w:spacing w:after="0" w:line="240" w:lineRule="auto"/>
    </w:pPr>
  </w:style>
  <w:style w:type="paragraph" w:styleId="Odstavekseznama">
    <w:name w:val="List Paragraph"/>
    <w:basedOn w:val="Navaden"/>
    <w:uiPriority w:val="34"/>
    <w:qFormat/>
    <w:rsid w:val="008C42B2"/>
    <w:pPr>
      <w:ind w:left="720"/>
      <w:contextualSpacing/>
    </w:pPr>
  </w:style>
  <w:style w:type="character" w:styleId="Besedilooznabemesta">
    <w:name w:val="Placeholder Text"/>
    <w:basedOn w:val="Privzetapisavaodstavka"/>
    <w:uiPriority w:val="99"/>
    <w:semiHidden/>
    <w:rsid w:val="001D71DC"/>
    <w:rPr>
      <w:color w:val="808080"/>
    </w:rPr>
  </w:style>
  <w:style w:type="paragraph" w:styleId="Glava">
    <w:name w:val="header"/>
    <w:basedOn w:val="Navaden"/>
    <w:link w:val="GlavaZnak"/>
    <w:uiPriority w:val="99"/>
    <w:unhideWhenUsed/>
    <w:rsid w:val="0077789B"/>
    <w:pPr>
      <w:tabs>
        <w:tab w:val="center" w:pos="4536"/>
        <w:tab w:val="right" w:pos="9072"/>
      </w:tabs>
      <w:spacing w:after="0" w:line="240" w:lineRule="auto"/>
    </w:pPr>
  </w:style>
  <w:style w:type="character" w:customStyle="1" w:styleId="GlavaZnak">
    <w:name w:val="Glava Znak"/>
    <w:basedOn w:val="Privzetapisavaodstavka"/>
    <w:link w:val="Glava"/>
    <w:uiPriority w:val="99"/>
    <w:rsid w:val="0077789B"/>
  </w:style>
  <w:style w:type="paragraph" w:styleId="Noga">
    <w:name w:val="footer"/>
    <w:basedOn w:val="Navaden"/>
    <w:link w:val="NogaZnak"/>
    <w:uiPriority w:val="99"/>
    <w:unhideWhenUsed/>
    <w:rsid w:val="0077789B"/>
    <w:pPr>
      <w:tabs>
        <w:tab w:val="center" w:pos="4536"/>
        <w:tab w:val="right" w:pos="9072"/>
      </w:tabs>
      <w:spacing w:after="0" w:line="240" w:lineRule="auto"/>
    </w:pPr>
  </w:style>
  <w:style w:type="character" w:customStyle="1" w:styleId="NogaZnak">
    <w:name w:val="Noga Znak"/>
    <w:basedOn w:val="Privzetapisavaodstavka"/>
    <w:link w:val="Noga"/>
    <w:uiPriority w:val="99"/>
    <w:rsid w:val="0077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96920">
      <w:bodyDiv w:val="1"/>
      <w:marLeft w:val="0"/>
      <w:marRight w:val="0"/>
      <w:marTop w:val="0"/>
      <w:marBottom w:val="0"/>
      <w:divBdr>
        <w:top w:val="none" w:sz="0" w:space="0" w:color="auto"/>
        <w:left w:val="none" w:sz="0" w:space="0" w:color="auto"/>
        <w:bottom w:val="none" w:sz="0" w:space="0" w:color="auto"/>
        <w:right w:val="none" w:sz="0" w:space="0" w:color="auto"/>
      </w:divBdr>
    </w:div>
    <w:div w:id="474184356">
      <w:bodyDiv w:val="1"/>
      <w:marLeft w:val="0"/>
      <w:marRight w:val="0"/>
      <w:marTop w:val="0"/>
      <w:marBottom w:val="0"/>
      <w:divBdr>
        <w:top w:val="none" w:sz="0" w:space="0" w:color="auto"/>
        <w:left w:val="none" w:sz="0" w:space="0" w:color="auto"/>
        <w:bottom w:val="none" w:sz="0" w:space="0" w:color="auto"/>
        <w:right w:val="none" w:sz="0" w:space="0" w:color="auto"/>
      </w:divBdr>
    </w:div>
    <w:div w:id="535699087">
      <w:bodyDiv w:val="1"/>
      <w:marLeft w:val="0"/>
      <w:marRight w:val="0"/>
      <w:marTop w:val="0"/>
      <w:marBottom w:val="0"/>
      <w:divBdr>
        <w:top w:val="none" w:sz="0" w:space="0" w:color="auto"/>
        <w:left w:val="none" w:sz="0" w:space="0" w:color="auto"/>
        <w:bottom w:val="none" w:sz="0" w:space="0" w:color="auto"/>
        <w:right w:val="none" w:sz="0" w:space="0" w:color="auto"/>
      </w:divBdr>
    </w:div>
    <w:div w:id="602684917">
      <w:bodyDiv w:val="1"/>
      <w:marLeft w:val="0"/>
      <w:marRight w:val="0"/>
      <w:marTop w:val="0"/>
      <w:marBottom w:val="0"/>
      <w:divBdr>
        <w:top w:val="none" w:sz="0" w:space="0" w:color="auto"/>
        <w:left w:val="none" w:sz="0" w:space="0" w:color="auto"/>
        <w:bottom w:val="none" w:sz="0" w:space="0" w:color="auto"/>
        <w:right w:val="none" w:sz="0" w:space="0" w:color="auto"/>
      </w:divBdr>
    </w:div>
    <w:div w:id="603148545">
      <w:bodyDiv w:val="1"/>
      <w:marLeft w:val="0"/>
      <w:marRight w:val="0"/>
      <w:marTop w:val="0"/>
      <w:marBottom w:val="0"/>
      <w:divBdr>
        <w:top w:val="none" w:sz="0" w:space="0" w:color="auto"/>
        <w:left w:val="none" w:sz="0" w:space="0" w:color="auto"/>
        <w:bottom w:val="none" w:sz="0" w:space="0" w:color="auto"/>
        <w:right w:val="none" w:sz="0" w:space="0" w:color="auto"/>
      </w:divBdr>
    </w:div>
    <w:div w:id="915166736">
      <w:bodyDiv w:val="1"/>
      <w:marLeft w:val="0"/>
      <w:marRight w:val="0"/>
      <w:marTop w:val="0"/>
      <w:marBottom w:val="0"/>
      <w:divBdr>
        <w:top w:val="none" w:sz="0" w:space="0" w:color="auto"/>
        <w:left w:val="none" w:sz="0" w:space="0" w:color="auto"/>
        <w:bottom w:val="none" w:sz="0" w:space="0" w:color="auto"/>
        <w:right w:val="none" w:sz="0" w:space="0" w:color="auto"/>
      </w:divBdr>
    </w:div>
    <w:div w:id="1124277932">
      <w:bodyDiv w:val="1"/>
      <w:marLeft w:val="0"/>
      <w:marRight w:val="0"/>
      <w:marTop w:val="0"/>
      <w:marBottom w:val="0"/>
      <w:divBdr>
        <w:top w:val="none" w:sz="0" w:space="0" w:color="auto"/>
        <w:left w:val="none" w:sz="0" w:space="0" w:color="auto"/>
        <w:bottom w:val="none" w:sz="0" w:space="0" w:color="auto"/>
        <w:right w:val="none" w:sz="0" w:space="0" w:color="auto"/>
      </w:divBdr>
    </w:div>
    <w:div w:id="1236434009">
      <w:bodyDiv w:val="1"/>
      <w:marLeft w:val="0"/>
      <w:marRight w:val="0"/>
      <w:marTop w:val="0"/>
      <w:marBottom w:val="0"/>
      <w:divBdr>
        <w:top w:val="none" w:sz="0" w:space="0" w:color="auto"/>
        <w:left w:val="none" w:sz="0" w:space="0" w:color="auto"/>
        <w:bottom w:val="none" w:sz="0" w:space="0" w:color="auto"/>
        <w:right w:val="none" w:sz="0" w:space="0" w:color="auto"/>
      </w:divBdr>
    </w:div>
    <w:div w:id="1301767166">
      <w:bodyDiv w:val="1"/>
      <w:marLeft w:val="0"/>
      <w:marRight w:val="0"/>
      <w:marTop w:val="0"/>
      <w:marBottom w:val="0"/>
      <w:divBdr>
        <w:top w:val="none" w:sz="0" w:space="0" w:color="auto"/>
        <w:left w:val="none" w:sz="0" w:space="0" w:color="auto"/>
        <w:bottom w:val="none" w:sz="0" w:space="0" w:color="auto"/>
        <w:right w:val="none" w:sz="0" w:space="0" w:color="auto"/>
      </w:divBdr>
    </w:div>
    <w:div w:id="16708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3A9037-3AF0-4522-8259-112F800A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4062</Words>
  <Characters>23159</Characters>
  <Application>Microsoft Office Word</Application>
  <DocSecurity>2</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Perovšek</dc:creator>
  <cp:keywords/>
  <dc:description/>
  <cp:lastModifiedBy>Aleš Perovšek</cp:lastModifiedBy>
  <cp:revision>2</cp:revision>
  <dcterms:created xsi:type="dcterms:W3CDTF">2021-03-23T09:32:00Z</dcterms:created>
  <dcterms:modified xsi:type="dcterms:W3CDTF">2021-03-23T09:32:00Z</dcterms:modified>
  <cp:contentStatus/>
</cp:coreProperties>
</file>